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4F" w:rsidRPr="00F4564F" w:rsidRDefault="00F4564F" w:rsidP="00012D83">
      <w:pPr>
        <w:spacing w:before="120"/>
        <w:jc w:val="center"/>
        <w:rPr>
          <w:rFonts w:ascii="Titillium" w:hAnsi="Titillium"/>
          <w:b/>
          <w:sz w:val="28"/>
          <w:szCs w:val="28"/>
          <w:lang w:val="hr-HR"/>
        </w:rPr>
      </w:pPr>
      <w:r w:rsidRPr="00F4564F">
        <w:rPr>
          <w:rFonts w:ascii="Titillium" w:hAnsi="Titillium"/>
          <w:b/>
          <w:sz w:val="28"/>
          <w:szCs w:val="28"/>
          <w:lang w:val="hr-HR"/>
        </w:rPr>
        <w:t>X</w:t>
      </w:r>
      <w:r>
        <w:rPr>
          <w:rFonts w:ascii="Titillium" w:hAnsi="Titillium"/>
          <w:b/>
          <w:sz w:val="28"/>
          <w:szCs w:val="28"/>
          <w:lang w:val="hr-HR"/>
        </w:rPr>
        <w:t>I</w:t>
      </w:r>
      <w:r w:rsidRPr="00F4564F">
        <w:rPr>
          <w:rFonts w:ascii="Titillium" w:hAnsi="Titillium"/>
          <w:b/>
          <w:sz w:val="28"/>
          <w:szCs w:val="28"/>
          <w:lang w:val="hr-HR"/>
        </w:rPr>
        <w:t xml:space="preserve">. </w:t>
      </w:r>
      <w:r>
        <w:rPr>
          <w:rFonts w:ascii="Titillium" w:hAnsi="Titillium"/>
          <w:b/>
          <w:sz w:val="28"/>
          <w:szCs w:val="28"/>
          <w:lang w:val="hr-HR"/>
        </w:rPr>
        <w:t>s</w:t>
      </w:r>
      <w:r w:rsidRPr="00F4564F">
        <w:rPr>
          <w:rFonts w:ascii="Titillium" w:hAnsi="Titillium"/>
          <w:b/>
          <w:sz w:val="28"/>
          <w:szCs w:val="28"/>
          <w:lang w:val="hr-HR"/>
        </w:rPr>
        <w:t xml:space="preserve">tručni seminar  </w:t>
      </w:r>
    </w:p>
    <w:p w:rsidR="00F4564F" w:rsidRPr="00F4564F" w:rsidRDefault="00F4564F" w:rsidP="00F4564F">
      <w:pPr>
        <w:jc w:val="center"/>
        <w:rPr>
          <w:rFonts w:ascii="Titillium" w:hAnsi="Titillium"/>
          <w:b/>
          <w:sz w:val="28"/>
          <w:szCs w:val="28"/>
          <w:lang w:val="hr-HR"/>
        </w:rPr>
      </w:pPr>
      <w:r w:rsidRPr="00F4564F">
        <w:rPr>
          <w:rFonts w:ascii="Titillium" w:hAnsi="Titillium"/>
          <w:b/>
          <w:sz w:val="28"/>
          <w:szCs w:val="28"/>
          <w:lang w:val="hr-HR"/>
        </w:rPr>
        <w:t>ODREĐIVANJE O</w:t>
      </w:r>
      <w:r w:rsidRPr="00F4564F">
        <w:rPr>
          <w:rFonts w:ascii="Titillium" w:hAnsi="Titillium"/>
          <w:b/>
          <w:sz w:val="28"/>
          <w:szCs w:val="28"/>
          <w:lang w:val="fr-FR"/>
        </w:rPr>
        <w:t>NE</w:t>
      </w:r>
      <w:r w:rsidRPr="00F4564F">
        <w:rPr>
          <w:rFonts w:ascii="Titillium" w:hAnsi="Titillium"/>
          <w:b/>
          <w:sz w:val="28"/>
          <w:szCs w:val="28"/>
          <w:lang w:val="hr-HR"/>
        </w:rPr>
        <w:t>Č</w:t>
      </w:r>
      <w:r w:rsidRPr="00F4564F">
        <w:rPr>
          <w:rFonts w:ascii="Titillium" w:hAnsi="Titillium"/>
          <w:b/>
          <w:sz w:val="28"/>
          <w:szCs w:val="28"/>
          <w:lang w:val="fr-FR"/>
        </w:rPr>
        <w:t>I</w:t>
      </w:r>
      <w:r w:rsidRPr="00F4564F">
        <w:rPr>
          <w:rFonts w:ascii="Titillium" w:hAnsi="Titillium"/>
          <w:b/>
          <w:sz w:val="28"/>
          <w:szCs w:val="28"/>
          <w:lang w:val="hr-HR"/>
        </w:rPr>
        <w:t>ŠĆ</w:t>
      </w:r>
      <w:r w:rsidRPr="00F4564F">
        <w:rPr>
          <w:rFonts w:ascii="Titillium" w:hAnsi="Titillium"/>
          <w:b/>
          <w:sz w:val="28"/>
          <w:szCs w:val="28"/>
          <w:lang w:val="fr-FR"/>
        </w:rPr>
        <w:t>ENJA</w:t>
      </w:r>
      <w:r w:rsidRPr="00F4564F">
        <w:rPr>
          <w:rFonts w:ascii="Titillium" w:hAnsi="Titillium"/>
          <w:b/>
          <w:sz w:val="28"/>
          <w:szCs w:val="28"/>
          <w:lang w:val="hr-HR"/>
        </w:rPr>
        <w:t xml:space="preserve"> </w:t>
      </w:r>
      <w:r w:rsidRPr="00F4564F">
        <w:rPr>
          <w:rFonts w:ascii="Titillium" w:hAnsi="Titillium"/>
          <w:b/>
          <w:sz w:val="28"/>
          <w:szCs w:val="28"/>
          <w:lang w:val="fr-FR"/>
        </w:rPr>
        <w:t>U</w:t>
      </w:r>
      <w:r w:rsidRPr="00F4564F">
        <w:rPr>
          <w:rFonts w:ascii="Titillium" w:hAnsi="Titillium"/>
          <w:b/>
          <w:sz w:val="28"/>
          <w:szCs w:val="28"/>
          <w:lang w:val="hr-HR"/>
        </w:rPr>
        <w:t xml:space="preserve"> </w:t>
      </w:r>
      <w:r w:rsidRPr="00F4564F">
        <w:rPr>
          <w:rFonts w:ascii="Titillium" w:hAnsi="Titillium"/>
          <w:b/>
          <w:sz w:val="28"/>
          <w:szCs w:val="28"/>
          <w:lang w:val="fr-FR"/>
        </w:rPr>
        <w:t>ZRAKU</w:t>
      </w:r>
      <w:r w:rsidRPr="00F4564F">
        <w:rPr>
          <w:rFonts w:ascii="Titillium" w:hAnsi="Titillium"/>
          <w:b/>
          <w:sz w:val="28"/>
          <w:szCs w:val="28"/>
          <w:lang w:val="hr-HR"/>
        </w:rPr>
        <w:t xml:space="preserve">, </w:t>
      </w:r>
      <w:r w:rsidRPr="00F4564F">
        <w:rPr>
          <w:rFonts w:ascii="Titillium" w:hAnsi="Titillium"/>
          <w:b/>
          <w:sz w:val="28"/>
          <w:szCs w:val="28"/>
          <w:lang w:val="fr-FR"/>
        </w:rPr>
        <w:t>VODI</w:t>
      </w:r>
      <w:r w:rsidRPr="00F4564F">
        <w:rPr>
          <w:rFonts w:ascii="Titillium" w:hAnsi="Titillium"/>
          <w:b/>
          <w:sz w:val="28"/>
          <w:szCs w:val="28"/>
          <w:lang w:val="hr-HR"/>
        </w:rPr>
        <w:t xml:space="preserve">  </w:t>
      </w:r>
      <w:r w:rsidRPr="00F4564F">
        <w:rPr>
          <w:rFonts w:ascii="Titillium" w:hAnsi="Titillium"/>
          <w:b/>
          <w:sz w:val="28"/>
          <w:szCs w:val="28"/>
          <w:lang w:val="fr-FR"/>
        </w:rPr>
        <w:t>I</w:t>
      </w:r>
      <w:r w:rsidRPr="00F4564F">
        <w:rPr>
          <w:rFonts w:ascii="Titillium" w:hAnsi="Titillium"/>
          <w:b/>
          <w:sz w:val="28"/>
          <w:szCs w:val="28"/>
          <w:lang w:val="hr-HR"/>
        </w:rPr>
        <w:t xml:space="preserve"> </w:t>
      </w:r>
      <w:r w:rsidRPr="00F4564F">
        <w:rPr>
          <w:rFonts w:ascii="Titillium" w:hAnsi="Titillium"/>
          <w:b/>
          <w:sz w:val="28"/>
          <w:szCs w:val="28"/>
          <w:lang w:val="fr-FR"/>
        </w:rPr>
        <w:t>TLU</w:t>
      </w:r>
      <w:r w:rsidRPr="00F4564F">
        <w:rPr>
          <w:rFonts w:ascii="Titillium" w:hAnsi="Titillium"/>
          <w:b/>
          <w:sz w:val="28"/>
          <w:szCs w:val="28"/>
          <w:lang w:val="hr-HR"/>
        </w:rPr>
        <w:t xml:space="preserve"> </w:t>
      </w:r>
      <w:r>
        <w:rPr>
          <w:rFonts w:ascii="Titillium" w:hAnsi="Titillium"/>
          <w:b/>
          <w:sz w:val="28"/>
          <w:szCs w:val="28"/>
          <w:lang w:val="hr-HR"/>
        </w:rPr>
        <w:br/>
      </w:r>
      <w:r w:rsidRPr="00F4564F">
        <w:rPr>
          <w:rFonts w:ascii="Titillium" w:hAnsi="Titillium"/>
          <w:b/>
          <w:sz w:val="28"/>
          <w:szCs w:val="28"/>
          <w:lang w:val="fr-FR"/>
        </w:rPr>
        <w:t>SPECIFI</w:t>
      </w:r>
      <w:r w:rsidRPr="00F4564F">
        <w:rPr>
          <w:rFonts w:ascii="Titillium" w:hAnsi="Titillium"/>
          <w:b/>
          <w:sz w:val="28"/>
          <w:szCs w:val="28"/>
          <w:lang w:val="hr-HR"/>
        </w:rPr>
        <w:t>Č</w:t>
      </w:r>
      <w:r w:rsidRPr="00F4564F">
        <w:rPr>
          <w:rFonts w:ascii="Titillium" w:hAnsi="Titillium"/>
          <w:b/>
          <w:sz w:val="28"/>
          <w:szCs w:val="28"/>
          <w:lang w:val="fr-FR"/>
        </w:rPr>
        <w:t>NIM</w:t>
      </w:r>
      <w:r w:rsidRPr="00F4564F">
        <w:rPr>
          <w:rFonts w:ascii="Titillium" w:hAnsi="Titillium"/>
          <w:b/>
          <w:sz w:val="28"/>
          <w:szCs w:val="28"/>
          <w:lang w:val="hr-HR"/>
        </w:rPr>
        <w:t xml:space="preserve"> </w:t>
      </w:r>
      <w:r w:rsidRPr="00F4564F">
        <w:rPr>
          <w:rFonts w:ascii="Titillium" w:hAnsi="Titillium"/>
          <w:b/>
          <w:sz w:val="28"/>
          <w:szCs w:val="28"/>
          <w:lang w:val="fr-FR"/>
        </w:rPr>
        <w:t>ANALITI</w:t>
      </w:r>
      <w:r w:rsidRPr="00F4564F">
        <w:rPr>
          <w:rFonts w:ascii="Titillium" w:hAnsi="Titillium"/>
          <w:b/>
          <w:sz w:val="28"/>
          <w:szCs w:val="28"/>
          <w:lang w:val="hr-HR"/>
        </w:rPr>
        <w:t>Č</w:t>
      </w:r>
      <w:r w:rsidRPr="00F4564F">
        <w:rPr>
          <w:rFonts w:ascii="Titillium" w:hAnsi="Titillium"/>
          <w:b/>
          <w:sz w:val="28"/>
          <w:szCs w:val="28"/>
          <w:lang w:val="fr-FR"/>
        </w:rPr>
        <w:t>KIM</w:t>
      </w:r>
      <w:r w:rsidRPr="00F4564F">
        <w:rPr>
          <w:rFonts w:ascii="Titillium" w:hAnsi="Titillium"/>
          <w:b/>
          <w:sz w:val="28"/>
          <w:szCs w:val="28"/>
          <w:lang w:val="hr-HR"/>
        </w:rPr>
        <w:t xml:space="preserve"> </w:t>
      </w:r>
      <w:r w:rsidRPr="00F4564F">
        <w:rPr>
          <w:rFonts w:ascii="Titillium" w:hAnsi="Titillium"/>
          <w:b/>
          <w:sz w:val="28"/>
          <w:szCs w:val="28"/>
          <w:lang w:val="fr-FR"/>
        </w:rPr>
        <w:t>TEHNIKAMA</w:t>
      </w:r>
    </w:p>
    <w:p w:rsidR="00F4564F" w:rsidRPr="00012D83" w:rsidRDefault="00F4564F" w:rsidP="00F4564F">
      <w:pPr>
        <w:jc w:val="center"/>
        <w:rPr>
          <w:rFonts w:ascii="Titillium" w:hAnsi="Titillium"/>
          <w:b/>
          <w:sz w:val="16"/>
          <w:szCs w:val="28"/>
          <w:lang w:val="hr-HR"/>
        </w:rPr>
      </w:pPr>
    </w:p>
    <w:p w:rsidR="00F4564F" w:rsidRPr="00F4564F" w:rsidRDefault="00F4564F" w:rsidP="00F4564F">
      <w:pPr>
        <w:jc w:val="center"/>
        <w:rPr>
          <w:rFonts w:ascii="Titillium" w:hAnsi="Titillium"/>
          <w:b/>
          <w:sz w:val="28"/>
          <w:szCs w:val="28"/>
          <w:lang w:val="hr-HR"/>
        </w:rPr>
      </w:pPr>
      <w:r w:rsidRPr="00F4564F">
        <w:rPr>
          <w:rFonts w:ascii="Titillium" w:hAnsi="Titillium"/>
          <w:b/>
          <w:sz w:val="28"/>
          <w:szCs w:val="28"/>
          <w:lang w:val="hr-HR"/>
        </w:rPr>
        <w:t xml:space="preserve">9. </w:t>
      </w:r>
      <w:r w:rsidR="00012D83">
        <w:rPr>
          <w:rFonts w:ascii="Titillium" w:hAnsi="Titillium"/>
          <w:b/>
          <w:sz w:val="28"/>
          <w:szCs w:val="28"/>
          <w:lang w:val="hr-HR"/>
        </w:rPr>
        <w:t>–</w:t>
      </w:r>
      <w:r w:rsidRPr="00F4564F">
        <w:rPr>
          <w:rFonts w:ascii="Titillium" w:hAnsi="Titillium"/>
          <w:b/>
          <w:sz w:val="28"/>
          <w:szCs w:val="28"/>
          <w:lang w:val="hr-HR"/>
        </w:rPr>
        <w:t xml:space="preserve"> 16. lipnja 202</w:t>
      </w:r>
      <w:r w:rsidR="00EA390C">
        <w:rPr>
          <w:rFonts w:ascii="Titillium" w:hAnsi="Titillium"/>
          <w:b/>
          <w:sz w:val="28"/>
          <w:szCs w:val="28"/>
          <w:lang w:val="hr-HR"/>
        </w:rPr>
        <w:t>4</w:t>
      </w:r>
      <w:r w:rsidRPr="00F4564F">
        <w:rPr>
          <w:rFonts w:ascii="Titillium" w:hAnsi="Titillium"/>
          <w:b/>
          <w:sz w:val="28"/>
          <w:szCs w:val="28"/>
          <w:lang w:val="hr-HR"/>
        </w:rPr>
        <w:t>. godine</w:t>
      </w:r>
    </w:p>
    <w:p w:rsidR="00964AC8" w:rsidRPr="00012D83" w:rsidRDefault="00964AC8">
      <w:pPr>
        <w:rPr>
          <w:sz w:val="12"/>
        </w:rPr>
      </w:pPr>
    </w:p>
    <w:p w:rsidR="00F4564F" w:rsidRPr="00F4564F" w:rsidRDefault="00F4564F" w:rsidP="00F4564F">
      <w:pPr>
        <w:jc w:val="both"/>
        <w:rPr>
          <w:rFonts w:ascii="Titillium" w:hAnsi="Titillium"/>
          <w:sz w:val="22"/>
          <w:szCs w:val="22"/>
          <w:lang w:val="hr-HR"/>
        </w:rPr>
      </w:pPr>
      <w:r w:rsidRPr="00F4564F">
        <w:rPr>
          <w:rFonts w:ascii="Titillium" w:hAnsi="Titillium"/>
          <w:sz w:val="22"/>
          <w:szCs w:val="22"/>
          <w:lang w:val="hr-HR"/>
        </w:rPr>
        <w:t xml:space="preserve">Ovime pozivamo sve članove Hrvatskog udruženja za zaštitu zraka da se prijave za sudjelovanje na stručnom seminaru koji će se održati u </w:t>
      </w:r>
      <w:r w:rsidR="00D91B60">
        <w:rPr>
          <w:rFonts w:ascii="Titillium" w:hAnsi="Titillium"/>
          <w:sz w:val="22"/>
          <w:szCs w:val="22"/>
          <w:lang w:val="hr-HR"/>
        </w:rPr>
        <w:t xml:space="preserve">Solunu, Ateni i </w:t>
      </w:r>
      <w:proofErr w:type="spellStart"/>
      <w:r w:rsidR="00D91B60">
        <w:rPr>
          <w:rFonts w:ascii="Titillium" w:hAnsi="Titillium"/>
          <w:sz w:val="22"/>
          <w:szCs w:val="22"/>
          <w:lang w:val="hr-HR"/>
        </w:rPr>
        <w:t>Patrasu</w:t>
      </w:r>
      <w:proofErr w:type="spellEnd"/>
      <w:r w:rsidRPr="00F4564F">
        <w:rPr>
          <w:rFonts w:ascii="Titillium" w:hAnsi="Titillium"/>
          <w:sz w:val="22"/>
          <w:szCs w:val="22"/>
          <w:lang w:val="hr-HR"/>
        </w:rPr>
        <w:t xml:space="preserve">, </w:t>
      </w:r>
      <w:r w:rsidR="00D91B60">
        <w:rPr>
          <w:rFonts w:ascii="Titillium" w:hAnsi="Titillium"/>
          <w:sz w:val="22"/>
          <w:szCs w:val="22"/>
          <w:lang w:val="hr-HR"/>
        </w:rPr>
        <w:t>Grčka</w:t>
      </w:r>
      <w:r w:rsidRPr="00F4564F">
        <w:rPr>
          <w:rFonts w:ascii="Titillium" w:hAnsi="Titillium"/>
          <w:sz w:val="22"/>
          <w:szCs w:val="22"/>
          <w:lang w:val="hr-HR"/>
        </w:rPr>
        <w:t xml:space="preserve">, a u organizaciji HUZZ-a uz </w:t>
      </w:r>
      <w:proofErr w:type="spellStart"/>
      <w:r w:rsidRPr="00F4564F">
        <w:rPr>
          <w:rFonts w:ascii="Titillium" w:hAnsi="Titillium"/>
          <w:sz w:val="22"/>
          <w:szCs w:val="22"/>
          <w:lang w:val="hr-HR"/>
        </w:rPr>
        <w:t>suorganizatorstvo</w:t>
      </w:r>
      <w:proofErr w:type="spellEnd"/>
      <w:r w:rsidRPr="00F4564F">
        <w:rPr>
          <w:rFonts w:ascii="Titillium" w:hAnsi="Titillium"/>
          <w:sz w:val="22"/>
          <w:szCs w:val="22"/>
          <w:lang w:val="hr-HR"/>
        </w:rPr>
        <w:t xml:space="preserve"> </w:t>
      </w:r>
      <w:proofErr w:type="spellStart"/>
      <w:r w:rsidRPr="00F4564F">
        <w:rPr>
          <w:rFonts w:ascii="Titillium" w:hAnsi="Titillium"/>
          <w:sz w:val="22"/>
          <w:szCs w:val="22"/>
          <w:lang w:val="fr-FR"/>
        </w:rPr>
        <w:t>Instituta</w:t>
      </w:r>
      <w:proofErr w:type="spellEnd"/>
      <w:r w:rsidRPr="00F4564F">
        <w:rPr>
          <w:rFonts w:ascii="Titillium" w:hAnsi="Titillium"/>
          <w:sz w:val="22"/>
          <w:szCs w:val="22"/>
          <w:lang w:val="hr-HR"/>
        </w:rPr>
        <w:t xml:space="preserve"> </w:t>
      </w:r>
      <w:proofErr w:type="spellStart"/>
      <w:r w:rsidRPr="00F4564F">
        <w:rPr>
          <w:rFonts w:ascii="Titillium" w:hAnsi="Titillium"/>
          <w:sz w:val="22"/>
          <w:szCs w:val="22"/>
          <w:lang w:val="fr-FR"/>
        </w:rPr>
        <w:t>za</w:t>
      </w:r>
      <w:proofErr w:type="spellEnd"/>
      <w:r w:rsidRPr="00F4564F">
        <w:rPr>
          <w:rFonts w:ascii="Titillium" w:hAnsi="Titillium"/>
          <w:sz w:val="22"/>
          <w:szCs w:val="22"/>
          <w:lang w:val="hr-HR"/>
        </w:rPr>
        <w:t xml:space="preserve"> </w:t>
      </w:r>
      <w:proofErr w:type="spellStart"/>
      <w:r w:rsidRPr="00F4564F">
        <w:rPr>
          <w:rFonts w:ascii="Titillium" w:hAnsi="Titillium"/>
          <w:sz w:val="22"/>
          <w:szCs w:val="22"/>
          <w:lang w:val="fr-FR"/>
        </w:rPr>
        <w:t>medicinska</w:t>
      </w:r>
      <w:proofErr w:type="spellEnd"/>
      <w:r w:rsidRPr="00F4564F">
        <w:rPr>
          <w:rFonts w:ascii="Titillium" w:hAnsi="Titillium"/>
          <w:sz w:val="22"/>
          <w:szCs w:val="22"/>
          <w:lang w:val="hr-HR"/>
        </w:rPr>
        <w:t xml:space="preserve"> </w:t>
      </w:r>
      <w:proofErr w:type="spellStart"/>
      <w:r w:rsidRPr="00F4564F">
        <w:rPr>
          <w:rFonts w:ascii="Titillium" w:hAnsi="Titillium"/>
          <w:sz w:val="22"/>
          <w:szCs w:val="22"/>
          <w:lang w:val="fr-FR"/>
        </w:rPr>
        <w:t>istra</w:t>
      </w:r>
      <w:proofErr w:type="spellEnd"/>
      <w:r w:rsidRPr="00F4564F">
        <w:rPr>
          <w:rFonts w:ascii="Titillium" w:hAnsi="Titillium"/>
          <w:sz w:val="22"/>
          <w:szCs w:val="22"/>
          <w:lang w:val="hr-HR"/>
        </w:rPr>
        <w:t>ž</w:t>
      </w:r>
      <w:proofErr w:type="spellStart"/>
      <w:r w:rsidRPr="00F4564F">
        <w:rPr>
          <w:rFonts w:ascii="Titillium" w:hAnsi="Titillium"/>
          <w:sz w:val="22"/>
          <w:szCs w:val="22"/>
          <w:lang w:val="fr-FR"/>
        </w:rPr>
        <w:t>ivanja</w:t>
      </w:r>
      <w:proofErr w:type="spellEnd"/>
      <w:r w:rsidRPr="00F4564F">
        <w:rPr>
          <w:rFonts w:ascii="Titillium" w:hAnsi="Titillium"/>
          <w:sz w:val="22"/>
          <w:szCs w:val="22"/>
          <w:lang w:val="hr-HR"/>
        </w:rPr>
        <w:t xml:space="preserve"> </w:t>
      </w:r>
      <w:r w:rsidRPr="00F4564F">
        <w:rPr>
          <w:rFonts w:ascii="Titillium" w:hAnsi="Titillium"/>
          <w:sz w:val="22"/>
          <w:szCs w:val="22"/>
          <w:lang w:val="fr-FR"/>
        </w:rPr>
        <w:t>i</w:t>
      </w:r>
      <w:r w:rsidRPr="00F4564F">
        <w:rPr>
          <w:rFonts w:ascii="Titillium" w:hAnsi="Titillium"/>
          <w:sz w:val="22"/>
          <w:szCs w:val="22"/>
          <w:lang w:val="hr-HR"/>
        </w:rPr>
        <w:t xml:space="preserve"> </w:t>
      </w:r>
      <w:proofErr w:type="spellStart"/>
      <w:r w:rsidRPr="00F4564F">
        <w:rPr>
          <w:rFonts w:ascii="Titillium" w:hAnsi="Titillium"/>
          <w:sz w:val="22"/>
          <w:szCs w:val="22"/>
          <w:lang w:val="fr-FR"/>
        </w:rPr>
        <w:t>medicinu</w:t>
      </w:r>
      <w:proofErr w:type="spellEnd"/>
      <w:r w:rsidRPr="00F4564F">
        <w:rPr>
          <w:rFonts w:ascii="Titillium" w:hAnsi="Titillium"/>
          <w:sz w:val="22"/>
          <w:szCs w:val="22"/>
          <w:lang w:val="hr-HR"/>
        </w:rPr>
        <w:t xml:space="preserve"> </w:t>
      </w:r>
      <w:r w:rsidRPr="00F4564F">
        <w:rPr>
          <w:rFonts w:ascii="Titillium" w:hAnsi="Titillium"/>
          <w:sz w:val="22"/>
          <w:szCs w:val="22"/>
          <w:lang w:val="fr-FR"/>
        </w:rPr>
        <w:t>rada, Zagreb.</w:t>
      </w:r>
      <w:r>
        <w:rPr>
          <w:rFonts w:ascii="Titillium" w:hAnsi="Titillium"/>
          <w:sz w:val="22"/>
          <w:szCs w:val="22"/>
          <w:lang w:val="fr-FR"/>
        </w:rPr>
        <w:t xml:space="preserve"> </w:t>
      </w:r>
      <w:r w:rsidRPr="00F4564F">
        <w:rPr>
          <w:rFonts w:ascii="Titillium" w:hAnsi="Titillium"/>
          <w:sz w:val="22"/>
          <w:szCs w:val="22"/>
          <w:lang w:val="hr-HR"/>
        </w:rPr>
        <w:t xml:space="preserve">Seminar će se održati od </w:t>
      </w:r>
      <w:r w:rsidR="00EA390C">
        <w:rPr>
          <w:rFonts w:ascii="Titillium" w:hAnsi="Titillium"/>
          <w:sz w:val="22"/>
          <w:szCs w:val="22"/>
          <w:lang w:val="hr-HR"/>
        </w:rPr>
        <w:t>9</w:t>
      </w:r>
      <w:r w:rsidRPr="00F4564F">
        <w:rPr>
          <w:rFonts w:ascii="Titillium" w:hAnsi="Titillium"/>
          <w:sz w:val="22"/>
          <w:szCs w:val="22"/>
          <w:lang w:val="hr-HR"/>
        </w:rPr>
        <w:t xml:space="preserve">. do </w:t>
      </w:r>
      <w:r w:rsidR="00EA390C">
        <w:rPr>
          <w:rFonts w:ascii="Titillium" w:hAnsi="Titillium"/>
          <w:sz w:val="22"/>
          <w:szCs w:val="22"/>
          <w:lang w:val="hr-HR"/>
        </w:rPr>
        <w:t>16</w:t>
      </w:r>
      <w:r w:rsidRPr="00F4564F">
        <w:rPr>
          <w:rFonts w:ascii="Titillium" w:hAnsi="Titillium"/>
          <w:sz w:val="22"/>
          <w:szCs w:val="22"/>
          <w:lang w:val="hr-HR"/>
        </w:rPr>
        <w:t>. lipnja 20</w:t>
      </w:r>
      <w:r w:rsidR="00EA390C">
        <w:rPr>
          <w:rFonts w:ascii="Titillium" w:hAnsi="Titillium"/>
          <w:sz w:val="22"/>
          <w:szCs w:val="22"/>
          <w:lang w:val="hr-HR"/>
        </w:rPr>
        <w:t>24</w:t>
      </w:r>
      <w:r w:rsidRPr="00F4564F">
        <w:rPr>
          <w:rFonts w:ascii="Titillium" w:hAnsi="Titillium"/>
          <w:sz w:val="22"/>
          <w:szCs w:val="22"/>
          <w:lang w:val="hr-HR"/>
        </w:rPr>
        <w:t>. godine. Sudionici seminara posjetit će:</w:t>
      </w:r>
    </w:p>
    <w:p w:rsidR="00702F47" w:rsidRPr="00702F47" w:rsidRDefault="00702F47" w:rsidP="00702F47">
      <w:pPr>
        <w:pStyle w:val="ListParagraph"/>
        <w:numPr>
          <w:ilvl w:val="0"/>
          <w:numId w:val="2"/>
        </w:numPr>
        <w:rPr>
          <w:rFonts w:ascii="Titillium" w:hAnsi="Titillium"/>
          <w:sz w:val="22"/>
        </w:rPr>
      </w:pPr>
      <w:r w:rsidRPr="00702F47">
        <w:rPr>
          <w:rFonts w:ascii="Titillium" w:hAnsi="Titillium"/>
          <w:iCs/>
          <w:sz w:val="22"/>
        </w:rPr>
        <w:t xml:space="preserve">SOLUN: </w:t>
      </w:r>
      <w:r w:rsidR="00D91B60" w:rsidRPr="00702F47">
        <w:rPr>
          <w:rFonts w:ascii="Titillium" w:hAnsi="Titillium"/>
          <w:iCs/>
          <w:sz w:val="22"/>
        </w:rPr>
        <w:t>Aristotle University of Thessaloniki, Division of Hydraulics and Environmental Engineering, Department of Civil Engineering, (</w:t>
      </w:r>
      <w:hyperlink r:id="rId7" w:history="1">
        <w:r w:rsidR="00D91B60" w:rsidRPr="00702F47">
          <w:rPr>
            <w:rStyle w:val="Hyperlink"/>
            <w:rFonts w:ascii="Titillium" w:hAnsi="Titillium"/>
            <w:iCs/>
            <w:sz w:val="22"/>
          </w:rPr>
          <w:t>https://www.auth.gr/en/</w:t>
        </w:r>
      </w:hyperlink>
      <w:r w:rsidR="00D91B60" w:rsidRPr="00702F47">
        <w:rPr>
          <w:rFonts w:ascii="Titillium" w:hAnsi="Titillium"/>
          <w:iCs/>
          <w:sz w:val="22"/>
        </w:rPr>
        <w:t>)</w:t>
      </w:r>
    </w:p>
    <w:p w:rsidR="00F4564F" w:rsidRPr="00702F47" w:rsidRDefault="00702F47" w:rsidP="00702F47">
      <w:pPr>
        <w:pStyle w:val="ListParagraph"/>
        <w:numPr>
          <w:ilvl w:val="0"/>
          <w:numId w:val="2"/>
        </w:numPr>
        <w:rPr>
          <w:rFonts w:ascii="Titillium" w:hAnsi="Titillium"/>
          <w:sz w:val="22"/>
        </w:rPr>
      </w:pPr>
      <w:r w:rsidRPr="00702F47">
        <w:rPr>
          <w:rFonts w:ascii="Titillium" w:hAnsi="Titillium"/>
          <w:iCs/>
          <w:sz w:val="22"/>
        </w:rPr>
        <w:t>ATENA: N.C.S.R. "</w:t>
      </w:r>
      <w:proofErr w:type="spellStart"/>
      <w:r w:rsidRPr="00702F47">
        <w:rPr>
          <w:rFonts w:ascii="Titillium" w:hAnsi="Titillium"/>
          <w:iCs/>
          <w:sz w:val="22"/>
        </w:rPr>
        <w:t>Demokritos</w:t>
      </w:r>
      <w:proofErr w:type="spellEnd"/>
      <w:r w:rsidRPr="00702F47">
        <w:rPr>
          <w:rFonts w:ascii="Titillium" w:hAnsi="Titillium"/>
          <w:iCs/>
          <w:sz w:val="22"/>
        </w:rPr>
        <w:t xml:space="preserve">" Institute of Nuclear and Radiological Science &amp; Technology, Energy &amp; Safety,  </w:t>
      </w:r>
      <w:proofErr w:type="spellStart"/>
      <w:r w:rsidRPr="00702F47">
        <w:rPr>
          <w:rFonts w:ascii="Titillium" w:hAnsi="Titillium"/>
          <w:b/>
          <w:bCs/>
          <w:iCs/>
          <w:sz w:val="22"/>
          <w:lang w:val="en-GB"/>
        </w:rPr>
        <w:t>E</w:t>
      </w:r>
      <w:r w:rsidRPr="00702F47">
        <w:rPr>
          <w:rFonts w:ascii="Courier New" w:hAnsi="Courier New" w:cs="Courier New"/>
          <w:b/>
          <w:bCs/>
          <w:iCs/>
          <w:sz w:val="22"/>
          <w:lang w:val="en-GB"/>
        </w:rPr>
        <w:t>Ν</w:t>
      </w:r>
      <w:r w:rsidRPr="00702F47">
        <w:rPr>
          <w:rFonts w:ascii="Titillium" w:hAnsi="Titillium"/>
          <w:b/>
          <w:bCs/>
          <w:iCs/>
          <w:sz w:val="22"/>
          <w:lang w:val="en-GB"/>
        </w:rPr>
        <w:t>vironmental</w:t>
      </w:r>
      <w:proofErr w:type="spellEnd"/>
      <w:r w:rsidRPr="00702F47">
        <w:rPr>
          <w:rFonts w:ascii="Titillium" w:hAnsi="Titillium"/>
          <w:b/>
          <w:bCs/>
          <w:iCs/>
          <w:sz w:val="22"/>
          <w:lang w:val="en-GB"/>
        </w:rPr>
        <w:t xml:space="preserve"> Radioactivity &amp; Aerosol technology for atmospheric and Climate </w:t>
      </w:r>
      <w:proofErr w:type="spellStart"/>
      <w:r w:rsidRPr="00702F47">
        <w:rPr>
          <w:rFonts w:ascii="Titillium" w:hAnsi="Titillium"/>
          <w:b/>
          <w:bCs/>
          <w:iCs/>
          <w:sz w:val="22"/>
          <w:lang w:val="en-GB"/>
        </w:rPr>
        <w:t>impacT</w:t>
      </w:r>
      <w:proofErr w:type="spellEnd"/>
      <w:r w:rsidRPr="00702F47">
        <w:rPr>
          <w:rFonts w:ascii="Titillium" w:hAnsi="Titillium"/>
          <w:b/>
          <w:bCs/>
          <w:iCs/>
          <w:sz w:val="22"/>
          <w:lang w:val="en-GB"/>
        </w:rPr>
        <w:t xml:space="preserve"> Lab - </w:t>
      </w:r>
      <w:r w:rsidRPr="00702F47">
        <w:rPr>
          <w:rFonts w:ascii="Titillium" w:hAnsi="Titillium"/>
          <w:iCs/>
          <w:sz w:val="22"/>
        </w:rPr>
        <w:t>ENRACT (</w:t>
      </w:r>
      <w:proofErr w:type="spellStart"/>
      <w:r w:rsidRPr="00702F47">
        <w:rPr>
          <w:rFonts w:ascii="Titillium" w:hAnsi="Titillium"/>
          <w:iCs/>
          <w:sz w:val="22"/>
        </w:rPr>
        <w:fldChar w:fldCharType="begin"/>
      </w:r>
      <w:r w:rsidRPr="00702F47">
        <w:rPr>
          <w:rFonts w:ascii="Titillium" w:hAnsi="Titillium"/>
          <w:iCs/>
          <w:sz w:val="22"/>
        </w:rPr>
        <w:instrText xml:space="preserve"> HYPERLINK "https://inrastes.demokritos.gr/laboratories/environmental-radioactivity-aerosol-air-quality-climate-change-technologies-laboratory-enract/" </w:instrText>
      </w:r>
      <w:r w:rsidRPr="00702F47">
        <w:rPr>
          <w:rFonts w:ascii="Titillium" w:hAnsi="Titillium"/>
          <w:iCs/>
          <w:sz w:val="22"/>
        </w:rPr>
        <w:fldChar w:fldCharType="separate"/>
      </w:r>
      <w:r w:rsidRPr="00702F47">
        <w:rPr>
          <w:rStyle w:val="Hyperlink"/>
          <w:rFonts w:ascii="Titillium" w:hAnsi="Titillium"/>
          <w:iCs/>
          <w:sz w:val="22"/>
        </w:rPr>
        <w:t>E</w:t>
      </w:r>
      <w:r w:rsidRPr="00702F47">
        <w:rPr>
          <w:rStyle w:val="Hyperlink"/>
          <w:rFonts w:ascii="Courier New" w:hAnsi="Courier New" w:cs="Courier New"/>
          <w:iCs/>
          <w:sz w:val="22"/>
        </w:rPr>
        <w:t>Ν</w:t>
      </w:r>
      <w:r w:rsidRPr="00702F47">
        <w:rPr>
          <w:rStyle w:val="Hyperlink"/>
          <w:rFonts w:ascii="Titillium" w:hAnsi="Titillium"/>
          <w:iCs/>
          <w:sz w:val="22"/>
        </w:rPr>
        <w:t>vironmental</w:t>
      </w:r>
      <w:proofErr w:type="spellEnd"/>
      <w:r w:rsidRPr="00702F47">
        <w:rPr>
          <w:rStyle w:val="Hyperlink"/>
          <w:rFonts w:ascii="Titillium" w:hAnsi="Titillium"/>
          <w:iCs/>
          <w:sz w:val="22"/>
        </w:rPr>
        <w:t xml:space="preserve"> Radioactivity &amp; Aerosol technology for atmospheric and Climate </w:t>
      </w:r>
      <w:proofErr w:type="spellStart"/>
      <w:r w:rsidRPr="00702F47">
        <w:rPr>
          <w:rStyle w:val="Hyperlink"/>
          <w:rFonts w:ascii="Titillium" w:hAnsi="Titillium"/>
          <w:iCs/>
          <w:sz w:val="22"/>
        </w:rPr>
        <w:t>impacT</w:t>
      </w:r>
      <w:proofErr w:type="spellEnd"/>
      <w:r w:rsidRPr="00702F47">
        <w:rPr>
          <w:rStyle w:val="Hyperlink"/>
          <w:rFonts w:ascii="Titillium" w:hAnsi="Titillium"/>
          <w:iCs/>
          <w:sz w:val="22"/>
        </w:rPr>
        <w:t xml:space="preserve"> Lab (</w:t>
      </w:r>
      <w:r w:rsidRPr="00702F47">
        <w:rPr>
          <w:rStyle w:val="Hyperlink"/>
          <w:rFonts w:ascii="Courier New" w:hAnsi="Courier New" w:cs="Courier New"/>
          <w:iCs/>
          <w:sz w:val="22"/>
        </w:rPr>
        <w:t>ΕΝ</w:t>
      </w:r>
      <w:r w:rsidRPr="00702F47">
        <w:rPr>
          <w:rStyle w:val="Hyperlink"/>
          <w:rFonts w:ascii="Titillium" w:hAnsi="Titillium"/>
          <w:iCs/>
          <w:sz w:val="22"/>
        </w:rPr>
        <w:t>RACT)-INRASTES - Official Web Site (demokritos.gr)</w:t>
      </w:r>
      <w:r w:rsidRPr="00702F47">
        <w:rPr>
          <w:rFonts w:ascii="Titillium" w:hAnsi="Titillium"/>
          <w:iCs/>
          <w:sz w:val="22"/>
        </w:rPr>
        <w:fldChar w:fldCharType="end"/>
      </w:r>
      <w:r w:rsidRPr="00702F47">
        <w:rPr>
          <w:rFonts w:ascii="Titillium" w:hAnsi="Titillium"/>
          <w:iCs/>
          <w:sz w:val="22"/>
        </w:rPr>
        <w:t xml:space="preserve">) </w:t>
      </w:r>
    </w:p>
    <w:p w:rsidR="00702F47" w:rsidRPr="00702F47" w:rsidRDefault="00702F47" w:rsidP="00702F47">
      <w:pPr>
        <w:pStyle w:val="ListParagraph"/>
        <w:numPr>
          <w:ilvl w:val="0"/>
          <w:numId w:val="2"/>
        </w:numPr>
        <w:rPr>
          <w:rFonts w:ascii="Titillium" w:hAnsi="Titillium"/>
          <w:sz w:val="22"/>
        </w:rPr>
      </w:pPr>
      <w:r w:rsidRPr="00702F47">
        <w:rPr>
          <w:rFonts w:ascii="Titillium" w:hAnsi="Titillium"/>
          <w:sz w:val="22"/>
        </w:rPr>
        <w:t>KALAVRITA -</w:t>
      </w:r>
      <w:r w:rsidRPr="00702F47">
        <w:rPr>
          <w:rFonts w:ascii="Calibri" w:hAnsi="Calibri" w:cs="Calibri"/>
          <w:sz w:val="22"/>
        </w:rPr>
        <w:t> </w:t>
      </w:r>
      <w:r w:rsidRPr="00702F47">
        <w:rPr>
          <w:rFonts w:ascii="Titillium" w:hAnsi="Titillium"/>
          <w:sz w:val="22"/>
        </w:rPr>
        <w:t xml:space="preserve"> </w:t>
      </w:r>
      <w:proofErr w:type="spellStart"/>
      <w:r w:rsidRPr="00702F47">
        <w:rPr>
          <w:rFonts w:ascii="Titillium" w:hAnsi="Titillium"/>
          <w:sz w:val="22"/>
        </w:rPr>
        <w:t>posjet</w:t>
      </w:r>
      <w:proofErr w:type="spellEnd"/>
      <w:r w:rsidRPr="00702F47">
        <w:rPr>
          <w:rFonts w:ascii="Titillium" w:hAnsi="Titillium"/>
          <w:sz w:val="22"/>
        </w:rPr>
        <w:t xml:space="preserve"> </w:t>
      </w:r>
      <w:proofErr w:type="spellStart"/>
      <w:r w:rsidRPr="00702F47">
        <w:rPr>
          <w:rFonts w:ascii="Titillium" w:hAnsi="Titillium"/>
          <w:sz w:val="22"/>
        </w:rPr>
        <w:t>mjernoj</w:t>
      </w:r>
      <w:proofErr w:type="spellEnd"/>
      <w:r w:rsidRPr="00702F47">
        <w:rPr>
          <w:rFonts w:ascii="Titillium" w:hAnsi="Titillium"/>
          <w:sz w:val="22"/>
        </w:rPr>
        <w:t xml:space="preserve"> </w:t>
      </w:r>
      <w:proofErr w:type="spellStart"/>
      <w:r w:rsidRPr="00702F47">
        <w:rPr>
          <w:rFonts w:ascii="Titillium" w:hAnsi="Titillium"/>
          <w:sz w:val="22"/>
        </w:rPr>
        <w:t>postaji</w:t>
      </w:r>
      <w:proofErr w:type="spellEnd"/>
      <w:r w:rsidRPr="00702F47">
        <w:rPr>
          <w:rFonts w:ascii="Titillium" w:hAnsi="Titillium"/>
          <w:sz w:val="22"/>
        </w:rPr>
        <w:t xml:space="preserve"> </w:t>
      </w:r>
      <w:proofErr w:type="spellStart"/>
      <w:r w:rsidRPr="00702F47">
        <w:rPr>
          <w:rFonts w:ascii="Titillium" w:hAnsi="Titillium"/>
          <w:sz w:val="22"/>
        </w:rPr>
        <w:t>na</w:t>
      </w:r>
      <w:proofErr w:type="spellEnd"/>
      <w:r w:rsidRPr="00702F47">
        <w:rPr>
          <w:rFonts w:ascii="Titillium" w:hAnsi="Titillium"/>
          <w:sz w:val="22"/>
        </w:rPr>
        <w:t xml:space="preserve"> 2300 </w:t>
      </w:r>
      <w:proofErr w:type="spellStart"/>
      <w:r w:rsidRPr="00702F47">
        <w:rPr>
          <w:rFonts w:ascii="Titillium" w:hAnsi="Titillium"/>
          <w:sz w:val="22"/>
        </w:rPr>
        <w:t>mnv</w:t>
      </w:r>
      <w:proofErr w:type="spellEnd"/>
    </w:p>
    <w:p w:rsidR="00702F47" w:rsidRPr="00702F47" w:rsidRDefault="00702F47" w:rsidP="00702F47">
      <w:pPr>
        <w:pStyle w:val="ListParagraph"/>
        <w:numPr>
          <w:ilvl w:val="0"/>
          <w:numId w:val="2"/>
        </w:numPr>
        <w:rPr>
          <w:rFonts w:ascii="Titillium" w:hAnsi="Titillium"/>
          <w:sz w:val="22"/>
        </w:rPr>
      </w:pPr>
      <w:r w:rsidRPr="00702F47">
        <w:rPr>
          <w:rFonts w:ascii="Titillium" w:hAnsi="Titillium"/>
          <w:iCs/>
          <w:sz w:val="22"/>
        </w:rPr>
        <w:t>PATRAS: Institute of Chemical Engineering Sciences, Foundation for Research and Technology HELLAS - FORTH/ICE-HT</w:t>
      </w:r>
      <w:r w:rsidRPr="00702F47">
        <w:rPr>
          <w:rFonts w:ascii="Calibri" w:hAnsi="Calibri" w:cs="Calibri"/>
          <w:iCs/>
          <w:sz w:val="22"/>
        </w:rPr>
        <w:t> </w:t>
      </w:r>
      <w:r w:rsidRPr="00702F47">
        <w:rPr>
          <w:rFonts w:ascii="Titillium" w:hAnsi="Titillium" w:cs="Calibri"/>
          <w:iCs/>
          <w:sz w:val="22"/>
        </w:rPr>
        <w:t>(</w:t>
      </w:r>
      <w:hyperlink r:id="rId8" w:history="1">
        <w:r w:rsidRPr="00702F47">
          <w:rPr>
            <w:rStyle w:val="Hyperlink"/>
            <w:rFonts w:ascii="Titillium" w:hAnsi="Titillium"/>
            <w:sz w:val="22"/>
          </w:rPr>
          <w:t xml:space="preserve">Institute of Chemical Engineering Sciences (FORTH/ICE-HT) | </w:t>
        </w:r>
        <w:proofErr w:type="spellStart"/>
        <w:r w:rsidRPr="00702F47">
          <w:rPr>
            <w:rStyle w:val="Hyperlink"/>
            <w:rFonts w:ascii="Titillium" w:hAnsi="Titillium"/>
            <w:sz w:val="22"/>
          </w:rPr>
          <w:t>ChemengUP</w:t>
        </w:r>
        <w:proofErr w:type="spellEnd"/>
        <w:r w:rsidRPr="00702F47">
          <w:rPr>
            <w:rStyle w:val="Hyperlink"/>
            <w:rFonts w:ascii="Titillium" w:hAnsi="Titillium"/>
            <w:sz w:val="22"/>
          </w:rPr>
          <w:t xml:space="preserve"> (upatras.gr)</w:t>
        </w:r>
      </w:hyperlink>
      <w:r w:rsidRPr="00702F47">
        <w:rPr>
          <w:rFonts w:ascii="Titillium" w:hAnsi="Titillium"/>
          <w:sz w:val="22"/>
        </w:rPr>
        <w:t>)</w:t>
      </w:r>
    </w:p>
    <w:p w:rsidR="00702F47" w:rsidRPr="00702F47" w:rsidRDefault="00702F47" w:rsidP="00702F47">
      <w:pPr>
        <w:rPr>
          <w:rFonts w:ascii="Titillium" w:hAnsi="Titillium"/>
          <w:iCs/>
          <w:sz w:val="22"/>
        </w:rPr>
      </w:pPr>
      <w:proofErr w:type="spellStart"/>
      <w:proofErr w:type="gramStart"/>
      <w:r w:rsidRPr="00702F47">
        <w:rPr>
          <w:rFonts w:ascii="Titillium" w:hAnsi="Titillium"/>
          <w:iCs/>
          <w:sz w:val="22"/>
        </w:rPr>
        <w:t>te</w:t>
      </w:r>
      <w:proofErr w:type="spellEnd"/>
      <w:proofErr w:type="gramEnd"/>
      <w:r w:rsidRPr="00702F47">
        <w:rPr>
          <w:rFonts w:ascii="Titillium" w:hAnsi="Titillium"/>
          <w:iCs/>
          <w:sz w:val="22"/>
        </w:rPr>
        <w:t xml:space="preserve"> </w:t>
      </w:r>
      <w:proofErr w:type="spellStart"/>
      <w:r w:rsidRPr="00702F47">
        <w:rPr>
          <w:rFonts w:ascii="Titillium" w:hAnsi="Titillium"/>
          <w:iCs/>
          <w:sz w:val="22"/>
        </w:rPr>
        <w:t>će</w:t>
      </w:r>
      <w:proofErr w:type="spellEnd"/>
      <w:r w:rsidRPr="00702F47">
        <w:rPr>
          <w:rFonts w:ascii="Titillium" w:hAnsi="Titillium"/>
          <w:iCs/>
          <w:sz w:val="22"/>
        </w:rPr>
        <w:t xml:space="preserve"> </w:t>
      </w:r>
      <w:proofErr w:type="spellStart"/>
      <w:r w:rsidRPr="00702F47">
        <w:rPr>
          <w:rFonts w:ascii="Titillium" w:hAnsi="Titillium"/>
          <w:iCs/>
          <w:sz w:val="22"/>
        </w:rPr>
        <w:t>biti</w:t>
      </w:r>
      <w:proofErr w:type="spellEnd"/>
      <w:r w:rsidRPr="00702F47">
        <w:rPr>
          <w:rFonts w:ascii="Titillium" w:hAnsi="Titillium"/>
          <w:iCs/>
          <w:sz w:val="22"/>
        </w:rPr>
        <w:t xml:space="preserve"> </w:t>
      </w:r>
      <w:proofErr w:type="spellStart"/>
      <w:r w:rsidRPr="00702F47">
        <w:rPr>
          <w:rFonts w:ascii="Titillium" w:hAnsi="Titillium"/>
          <w:iCs/>
          <w:sz w:val="22"/>
        </w:rPr>
        <w:t>organizirana</w:t>
      </w:r>
      <w:proofErr w:type="spellEnd"/>
      <w:r w:rsidRPr="00702F47">
        <w:rPr>
          <w:rFonts w:ascii="Titillium" w:hAnsi="Titillium"/>
          <w:iCs/>
          <w:sz w:val="22"/>
        </w:rPr>
        <w:t xml:space="preserve"> </w:t>
      </w:r>
      <w:proofErr w:type="spellStart"/>
      <w:r w:rsidRPr="00702F47">
        <w:rPr>
          <w:rFonts w:ascii="Titillium" w:hAnsi="Titillium"/>
          <w:iCs/>
          <w:sz w:val="22"/>
        </w:rPr>
        <w:t>predavanja</w:t>
      </w:r>
      <w:proofErr w:type="spellEnd"/>
      <w:r w:rsidRPr="00702F47">
        <w:rPr>
          <w:rFonts w:ascii="Titillium" w:hAnsi="Titillium"/>
          <w:iCs/>
          <w:sz w:val="22"/>
        </w:rPr>
        <w:t xml:space="preserve">, </w:t>
      </w:r>
      <w:proofErr w:type="spellStart"/>
      <w:r w:rsidRPr="00702F47">
        <w:rPr>
          <w:rFonts w:ascii="Titillium" w:hAnsi="Titillium"/>
          <w:iCs/>
          <w:sz w:val="22"/>
        </w:rPr>
        <w:t>stručni</w:t>
      </w:r>
      <w:proofErr w:type="spellEnd"/>
      <w:r w:rsidRPr="00702F47">
        <w:rPr>
          <w:rFonts w:ascii="Titillium" w:hAnsi="Titillium"/>
          <w:iCs/>
          <w:sz w:val="22"/>
        </w:rPr>
        <w:t xml:space="preserve"> </w:t>
      </w:r>
      <w:proofErr w:type="spellStart"/>
      <w:r w:rsidRPr="00702F47">
        <w:rPr>
          <w:rFonts w:ascii="Titillium" w:hAnsi="Titillium"/>
          <w:iCs/>
          <w:sz w:val="22"/>
        </w:rPr>
        <w:t>sastanci</w:t>
      </w:r>
      <w:proofErr w:type="spellEnd"/>
      <w:r w:rsidRPr="00702F47">
        <w:rPr>
          <w:rFonts w:ascii="Titillium" w:hAnsi="Titillium"/>
          <w:iCs/>
          <w:sz w:val="22"/>
        </w:rPr>
        <w:t xml:space="preserve">, </w:t>
      </w:r>
      <w:proofErr w:type="spellStart"/>
      <w:r w:rsidRPr="00702F47">
        <w:rPr>
          <w:rFonts w:ascii="Titillium" w:hAnsi="Titillium"/>
          <w:iCs/>
          <w:sz w:val="22"/>
        </w:rPr>
        <w:t>obilazak</w:t>
      </w:r>
      <w:proofErr w:type="spellEnd"/>
      <w:r w:rsidRPr="00702F47">
        <w:rPr>
          <w:rFonts w:ascii="Titillium" w:hAnsi="Titillium"/>
          <w:iCs/>
          <w:sz w:val="22"/>
        </w:rPr>
        <w:t xml:space="preserve"> </w:t>
      </w:r>
      <w:proofErr w:type="spellStart"/>
      <w:r w:rsidRPr="00702F47">
        <w:rPr>
          <w:rFonts w:ascii="Titillium" w:hAnsi="Titillium"/>
          <w:iCs/>
          <w:sz w:val="22"/>
        </w:rPr>
        <w:t>laboratorija</w:t>
      </w:r>
      <w:proofErr w:type="spellEnd"/>
      <w:r w:rsidRPr="00702F47">
        <w:rPr>
          <w:rFonts w:ascii="Titillium" w:hAnsi="Titillium"/>
          <w:iCs/>
          <w:sz w:val="22"/>
        </w:rPr>
        <w:t xml:space="preserve"> </w:t>
      </w:r>
      <w:proofErr w:type="spellStart"/>
      <w:r w:rsidRPr="00702F47">
        <w:rPr>
          <w:rFonts w:ascii="Titillium" w:hAnsi="Titillium"/>
          <w:iCs/>
          <w:sz w:val="22"/>
        </w:rPr>
        <w:t>i</w:t>
      </w:r>
      <w:proofErr w:type="spellEnd"/>
      <w:r w:rsidRPr="00702F47">
        <w:rPr>
          <w:rFonts w:ascii="Titillium" w:hAnsi="Titillium"/>
          <w:iCs/>
          <w:sz w:val="22"/>
        </w:rPr>
        <w:t xml:space="preserve"> </w:t>
      </w:r>
      <w:proofErr w:type="spellStart"/>
      <w:r w:rsidRPr="00702F47">
        <w:rPr>
          <w:rFonts w:ascii="Titillium" w:hAnsi="Titillium"/>
          <w:iCs/>
          <w:sz w:val="22"/>
        </w:rPr>
        <w:t>mjernih</w:t>
      </w:r>
      <w:proofErr w:type="spellEnd"/>
      <w:r w:rsidRPr="00702F47">
        <w:rPr>
          <w:rFonts w:ascii="Titillium" w:hAnsi="Titillium"/>
          <w:iCs/>
          <w:sz w:val="22"/>
        </w:rPr>
        <w:t xml:space="preserve"> </w:t>
      </w:r>
      <w:proofErr w:type="spellStart"/>
      <w:r w:rsidRPr="00702F47">
        <w:rPr>
          <w:rFonts w:ascii="Titillium" w:hAnsi="Titillium"/>
          <w:iCs/>
          <w:sz w:val="22"/>
        </w:rPr>
        <w:t>postaja</w:t>
      </w:r>
      <w:proofErr w:type="spellEnd"/>
      <w:r w:rsidRPr="00702F47">
        <w:rPr>
          <w:rFonts w:ascii="Titillium" w:hAnsi="Titillium"/>
          <w:iCs/>
          <w:sz w:val="22"/>
        </w:rPr>
        <w:t xml:space="preserve">. </w:t>
      </w:r>
      <w:proofErr w:type="spellStart"/>
      <w:r w:rsidRPr="00702F47">
        <w:rPr>
          <w:rFonts w:ascii="Titillium" w:hAnsi="Titillium"/>
          <w:iCs/>
          <w:sz w:val="22"/>
        </w:rPr>
        <w:t>Obavijest</w:t>
      </w:r>
      <w:proofErr w:type="spellEnd"/>
      <w:r w:rsidRPr="00702F47">
        <w:rPr>
          <w:rFonts w:ascii="Titillium" w:hAnsi="Titillium"/>
          <w:iCs/>
          <w:sz w:val="22"/>
        </w:rPr>
        <w:t xml:space="preserve"> o </w:t>
      </w:r>
      <w:proofErr w:type="spellStart"/>
      <w:r w:rsidRPr="00702F47">
        <w:rPr>
          <w:rFonts w:ascii="Titillium" w:hAnsi="Titillium"/>
          <w:iCs/>
          <w:sz w:val="22"/>
        </w:rPr>
        <w:t>seminaru</w:t>
      </w:r>
      <w:proofErr w:type="spellEnd"/>
      <w:r w:rsidRPr="00702F47">
        <w:rPr>
          <w:rFonts w:ascii="Titillium" w:hAnsi="Titillium"/>
          <w:iCs/>
          <w:sz w:val="22"/>
        </w:rPr>
        <w:t xml:space="preserve"> </w:t>
      </w:r>
      <w:proofErr w:type="spellStart"/>
      <w:r w:rsidRPr="00702F47">
        <w:rPr>
          <w:rFonts w:ascii="Titillium" w:hAnsi="Titillium"/>
          <w:iCs/>
          <w:sz w:val="22"/>
        </w:rPr>
        <w:t>može</w:t>
      </w:r>
      <w:proofErr w:type="spellEnd"/>
      <w:r w:rsidRPr="00702F47">
        <w:rPr>
          <w:rFonts w:ascii="Titillium" w:hAnsi="Titillium"/>
          <w:iCs/>
          <w:sz w:val="22"/>
        </w:rPr>
        <w:t xml:space="preserve"> se </w:t>
      </w:r>
      <w:proofErr w:type="spellStart"/>
      <w:r w:rsidRPr="00702F47">
        <w:rPr>
          <w:rFonts w:ascii="Titillium" w:hAnsi="Titillium"/>
          <w:iCs/>
          <w:sz w:val="22"/>
        </w:rPr>
        <w:t>pronaći</w:t>
      </w:r>
      <w:proofErr w:type="spellEnd"/>
      <w:r w:rsidRPr="00702F47">
        <w:rPr>
          <w:rFonts w:ascii="Titillium" w:hAnsi="Titillium"/>
          <w:iCs/>
          <w:sz w:val="22"/>
        </w:rPr>
        <w:t xml:space="preserve"> </w:t>
      </w:r>
      <w:proofErr w:type="spellStart"/>
      <w:proofErr w:type="gramStart"/>
      <w:r w:rsidRPr="00702F47">
        <w:rPr>
          <w:rFonts w:ascii="Titillium" w:hAnsi="Titillium"/>
          <w:iCs/>
          <w:sz w:val="22"/>
        </w:rPr>
        <w:t>na</w:t>
      </w:r>
      <w:proofErr w:type="spellEnd"/>
      <w:proofErr w:type="gramEnd"/>
      <w:r w:rsidRPr="00702F47">
        <w:rPr>
          <w:rFonts w:ascii="Titillium" w:hAnsi="Titillium"/>
          <w:iCs/>
          <w:sz w:val="22"/>
        </w:rPr>
        <w:t xml:space="preserve"> </w:t>
      </w:r>
      <w:hyperlink r:id="rId9" w:history="1">
        <w:r w:rsidRPr="00702F47">
          <w:rPr>
            <w:rStyle w:val="Hyperlink"/>
            <w:rFonts w:ascii="Titillium" w:hAnsi="Titillium"/>
            <w:iCs/>
            <w:sz w:val="22"/>
          </w:rPr>
          <w:t>www.huzz.hr</w:t>
        </w:r>
      </w:hyperlink>
      <w:r w:rsidRPr="00702F47">
        <w:rPr>
          <w:rFonts w:ascii="Titillium" w:hAnsi="Titillium"/>
          <w:iCs/>
          <w:sz w:val="22"/>
        </w:rPr>
        <w:t>.</w:t>
      </w:r>
    </w:p>
    <w:p w:rsidR="00702F47" w:rsidRPr="00012D83" w:rsidRDefault="00702F47" w:rsidP="00702F47">
      <w:pPr>
        <w:rPr>
          <w:rFonts w:ascii="Titillium" w:hAnsi="Titillium"/>
          <w:iCs/>
          <w:sz w:val="12"/>
        </w:rPr>
      </w:pPr>
    </w:p>
    <w:p w:rsidR="00702F47" w:rsidRPr="00CA22EF" w:rsidRDefault="00702F47" w:rsidP="00702F47">
      <w:pPr>
        <w:rPr>
          <w:rFonts w:ascii="Titillium" w:hAnsi="Titillium"/>
          <w:iCs/>
          <w:sz w:val="22"/>
          <w:lang w:val="hr-HR"/>
        </w:rPr>
      </w:pPr>
      <w:r w:rsidRPr="00CA22EF">
        <w:rPr>
          <w:rFonts w:ascii="Titillium" w:hAnsi="Titillium"/>
          <w:b/>
          <w:iCs/>
          <w:sz w:val="22"/>
          <w:lang w:val="hr-HR"/>
        </w:rPr>
        <w:t>Polazak:</w:t>
      </w:r>
      <w:r w:rsidRPr="00CA22EF">
        <w:rPr>
          <w:rFonts w:ascii="Titillium" w:hAnsi="Titillium"/>
          <w:iCs/>
          <w:sz w:val="22"/>
          <w:lang w:val="hr-HR"/>
        </w:rPr>
        <w:t xml:space="preserve"> 9. lipnja 2024.</w:t>
      </w:r>
    </w:p>
    <w:p w:rsidR="00702F47" w:rsidRPr="00CA22EF" w:rsidRDefault="00702F47" w:rsidP="00702F47">
      <w:pPr>
        <w:rPr>
          <w:rFonts w:ascii="Titillium" w:hAnsi="Titillium"/>
          <w:iCs/>
          <w:sz w:val="22"/>
          <w:lang w:val="hr-HR"/>
        </w:rPr>
      </w:pPr>
      <w:r w:rsidRPr="00CA22EF">
        <w:rPr>
          <w:rFonts w:ascii="Titillium" w:hAnsi="Titillium"/>
          <w:b/>
          <w:iCs/>
          <w:sz w:val="22"/>
          <w:lang w:val="hr-HR"/>
        </w:rPr>
        <w:t>Trajanje putovanja:</w:t>
      </w:r>
      <w:r w:rsidRPr="00CA22EF">
        <w:rPr>
          <w:rFonts w:ascii="Titillium" w:hAnsi="Titillium"/>
          <w:iCs/>
          <w:sz w:val="22"/>
          <w:lang w:val="hr-HR"/>
        </w:rPr>
        <w:t xml:space="preserve"> 8 dana/7 noćenja</w:t>
      </w:r>
    </w:p>
    <w:p w:rsidR="00702F47" w:rsidRPr="00CA22EF" w:rsidRDefault="00702F47" w:rsidP="00702F47">
      <w:pPr>
        <w:rPr>
          <w:rFonts w:ascii="Titillium" w:hAnsi="Titillium"/>
          <w:iCs/>
          <w:sz w:val="22"/>
          <w:lang w:val="hr-HR"/>
        </w:rPr>
      </w:pPr>
      <w:r w:rsidRPr="00CA22EF">
        <w:rPr>
          <w:rFonts w:ascii="Titillium" w:hAnsi="Titillium"/>
          <w:b/>
          <w:iCs/>
          <w:sz w:val="22"/>
          <w:lang w:val="hr-HR"/>
        </w:rPr>
        <w:t xml:space="preserve">Cijena aranžmana po osobi u dvokrevetnoj </w:t>
      </w:r>
      <w:r w:rsidRPr="00C02FFE">
        <w:rPr>
          <w:rFonts w:ascii="Titillium" w:hAnsi="Titillium"/>
          <w:b/>
          <w:iCs/>
          <w:sz w:val="22"/>
          <w:lang w:val="hr-HR"/>
        </w:rPr>
        <w:t>sobi:</w:t>
      </w:r>
      <w:r w:rsidRPr="00C02FFE">
        <w:rPr>
          <w:rFonts w:ascii="Titillium" w:hAnsi="Titillium"/>
          <w:iCs/>
          <w:sz w:val="22"/>
          <w:lang w:val="hr-HR"/>
        </w:rPr>
        <w:t xml:space="preserve"> </w:t>
      </w:r>
      <w:r w:rsidR="00C02FFE" w:rsidRPr="00C02FFE">
        <w:rPr>
          <w:rFonts w:ascii="Titillium" w:hAnsi="Titillium"/>
          <w:b/>
          <w:iCs/>
          <w:color w:val="0000FF"/>
          <w:sz w:val="22"/>
          <w:lang w:val="hr-HR"/>
        </w:rPr>
        <w:t>1190 €</w:t>
      </w:r>
    </w:p>
    <w:p w:rsidR="00702F47" w:rsidRPr="00CA22EF" w:rsidRDefault="00702F47" w:rsidP="00702F47">
      <w:pPr>
        <w:rPr>
          <w:rFonts w:ascii="Titillium" w:hAnsi="Titillium"/>
          <w:b/>
          <w:iCs/>
          <w:sz w:val="22"/>
          <w:lang w:val="hr-HR"/>
        </w:rPr>
      </w:pPr>
      <w:r w:rsidRPr="00CA22EF">
        <w:rPr>
          <w:rFonts w:ascii="Titillium" w:hAnsi="Titillium"/>
          <w:b/>
          <w:iCs/>
          <w:sz w:val="22"/>
          <w:lang w:val="hr-HR"/>
        </w:rPr>
        <w:t>Cijena aranžmana po osobi u jednokrevetnoj sobi</w:t>
      </w:r>
      <w:r w:rsidRPr="00C02FFE">
        <w:rPr>
          <w:rFonts w:ascii="Titillium" w:hAnsi="Titillium"/>
          <w:b/>
          <w:iCs/>
          <w:sz w:val="22"/>
          <w:lang w:val="hr-HR"/>
        </w:rPr>
        <w:t>:</w:t>
      </w:r>
      <w:r w:rsidR="00C02FFE" w:rsidRPr="00C02FFE">
        <w:rPr>
          <w:rFonts w:ascii="Titillium" w:hAnsi="Titillium"/>
          <w:b/>
          <w:iCs/>
          <w:sz w:val="22"/>
          <w:lang w:val="hr-HR"/>
        </w:rPr>
        <w:t xml:space="preserve"> </w:t>
      </w:r>
      <w:r w:rsidR="00C02FFE" w:rsidRPr="00C02FFE">
        <w:rPr>
          <w:rFonts w:ascii="Titillium" w:hAnsi="Titillium"/>
          <w:b/>
          <w:iCs/>
          <w:color w:val="0000FF"/>
          <w:sz w:val="22"/>
          <w:lang w:val="hr-HR"/>
        </w:rPr>
        <w:t>1350 €</w:t>
      </w:r>
      <w:r w:rsidR="00C02FFE">
        <w:rPr>
          <w:rFonts w:ascii="Titillium" w:hAnsi="Titillium"/>
          <w:b/>
          <w:iCs/>
          <w:sz w:val="22"/>
          <w:lang w:val="hr-HR"/>
        </w:rPr>
        <w:t xml:space="preserve"> </w:t>
      </w:r>
      <w:r w:rsidR="00C02FFE" w:rsidRPr="00C02FFE">
        <w:rPr>
          <w:rFonts w:ascii="Titillium" w:hAnsi="Titillium"/>
          <w:iCs/>
          <w:sz w:val="22"/>
          <w:lang w:val="hr-HR"/>
        </w:rPr>
        <w:t>(1190 € + nadoplata za jednokrevetnu sobu od 160€)</w:t>
      </w:r>
    </w:p>
    <w:p w:rsidR="00702F47" w:rsidRPr="00CA22EF" w:rsidRDefault="009B0A6A" w:rsidP="00702F47">
      <w:pPr>
        <w:rPr>
          <w:rFonts w:ascii="Titillium" w:hAnsi="Titillium"/>
          <w:b/>
          <w:iCs/>
          <w:sz w:val="22"/>
          <w:lang w:val="hr-HR"/>
        </w:rPr>
      </w:pPr>
      <w:r>
        <w:rPr>
          <w:rFonts w:ascii="Titillium" w:hAnsi="Titillium"/>
          <w:b/>
          <w:iCs/>
          <w:sz w:val="22"/>
          <w:lang w:val="hr-HR"/>
        </w:rPr>
        <w:t>Ako</w:t>
      </w:r>
      <w:r w:rsidR="00702F47" w:rsidRPr="00CA22EF">
        <w:rPr>
          <w:rFonts w:ascii="Titillium" w:hAnsi="Titillium"/>
          <w:b/>
          <w:iCs/>
          <w:sz w:val="22"/>
          <w:lang w:val="hr-HR"/>
        </w:rPr>
        <w:t xml:space="preserve"> želite smještaj u dvokrevetnoj sobi, molim da navedete ime osobe s kojom dijelite sobu.</w:t>
      </w:r>
    </w:p>
    <w:p w:rsidR="00702F47" w:rsidRPr="00012D83" w:rsidRDefault="00702F47" w:rsidP="00702F47">
      <w:pPr>
        <w:rPr>
          <w:rFonts w:ascii="Titillium" w:hAnsi="Titillium"/>
          <w:iCs/>
          <w:sz w:val="12"/>
          <w:lang w:val="hr-HR"/>
        </w:rPr>
      </w:pPr>
    </w:p>
    <w:p w:rsidR="00702F47" w:rsidRPr="00CA22EF" w:rsidRDefault="00702F47" w:rsidP="00702F47">
      <w:pPr>
        <w:rPr>
          <w:rFonts w:ascii="Titillium" w:hAnsi="Titillium"/>
          <w:iCs/>
          <w:sz w:val="22"/>
          <w:lang w:val="hr-HR"/>
        </w:rPr>
      </w:pPr>
      <w:r w:rsidRPr="00CA22EF">
        <w:rPr>
          <w:rFonts w:ascii="Titillium" w:hAnsi="Titillium"/>
          <w:b/>
          <w:iCs/>
          <w:sz w:val="22"/>
          <w:lang w:val="hr-HR"/>
        </w:rPr>
        <w:t xml:space="preserve">Cijena aranžmana po osobi uključuje: </w:t>
      </w:r>
      <w:r w:rsidRPr="00CA22EF">
        <w:rPr>
          <w:rFonts w:ascii="Titillium" w:hAnsi="Titillium"/>
          <w:iCs/>
          <w:sz w:val="22"/>
          <w:lang w:val="hr-HR"/>
        </w:rPr>
        <w:t xml:space="preserve">prijevoz avionom Zagreb - Skopje – Zagreb, prijevoz autobusom, 7 noćenja u hotelima </w:t>
      </w:r>
      <w:r w:rsidR="00C02FFE">
        <w:rPr>
          <w:rFonts w:ascii="Titillium" w:hAnsi="Titillium"/>
          <w:iCs/>
          <w:sz w:val="22"/>
          <w:lang w:val="hr-HR"/>
        </w:rPr>
        <w:t>4</w:t>
      </w:r>
      <w:r w:rsidRPr="00CA22EF">
        <w:rPr>
          <w:rFonts w:ascii="Titillium" w:hAnsi="Titillium"/>
          <w:iCs/>
          <w:sz w:val="22"/>
          <w:lang w:val="hr-HR"/>
        </w:rPr>
        <w:t>*, boravišnu pristojbu, jamčevinu i troškove organizacije putovanja.</w:t>
      </w:r>
    </w:p>
    <w:p w:rsidR="00702F47" w:rsidRPr="00012D83" w:rsidRDefault="00702F47" w:rsidP="00702F47">
      <w:pPr>
        <w:rPr>
          <w:rFonts w:ascii="Titillium" w:hAnsi="Titillium"/>
          <w:iCs/>
          <w:sz w:val="12"/>
          <w:lang w:val="hr-HR"/>
        </w:rPr>
      </w:pPr>
    </w:p>
    <w:p w:rsidR="00702F47" w:rsidRPr="00C02FFE" w:rsidRDefault="00702F47" w:rsidP="00702F47">
      <w:pPr>
        <w:rPr>
          <w:rFonts w:ascii="Titillium" w:hAnsi="Titillium"/>
          <w:iCs/>
          <w:sz w:val="22"/>
          <w:lang w:val="hr-HR"/>
        </w:rPr>
      </w:pPr>
      <w:r w:rsidRPr="00C02FFE">
        <w:rPr>
          <w:rFonts w:ascii="Titillium" w:hAnsi="Titillium"/>
          <w:b/>
          <w:iCs/>
          <w:sz w:val="22"/>
          <w:lang w:val="hr-HR"/>
        </w:rPr>
        <w:t>Doplata za policu zdravstvenog osiguranja</w:t>
      </w:r>
      <w:r w:rsidR="00C02FFE" w:rsidRPr="00C02FFE">
        <w:rPr>
          <w:rFonts w:ascii="Titillium" w:hAnsi="Titillium"/>
          <w:b/>
          <w:iCs/>
          <w:sz w:val="22"/>
          <w:lang w:val="hr-HR"/>
        </w:rPr>
        <w:t xml:space="preserve"> i</w:t>
      </w:r>
      <w:r w:rsidR="00C02FFE" w:rsidRPr="00C02FFE">
        <w:rPr>
          <w:rFonts w:ascii="Titillium" w:hAnsi="Titillium"/>
          <w:iCs/>
          <w:sz w:val="22"/>
          <w:lang w:val="hr-HR"/>
        </w:rPr>
        <w:t xml:space="preserve"> </w:t>
      </w:r>
      <w:r w:rsidR="00C02FFE" w:rsidRPr="00C02FFE">
        <w:rPr>
          <w:rFonts w:ascii="Titillium" w:hAnsi="Titillium"/>
          <w:b/>
          <w:iCs/>
          <w:sz w:val="22"/>
          <w:lang w:val="hr-HR"/>
        </w:rPr>
        <w:t xml:space="preserve">za policu od otkazivanja putovanja: </w:t>
      </w:r>
      <w:r w:rsidR="00C02FFE" w:rsidRPr="00C02FFE">
        <w:rPr>
          <w:rFonts w:ascii="Titillium" w:hAnsi="Titillium"/>
          <w:iCs/>
          <w:color w:val="0000FF"/>
          <w:sz w:val="22"/>
          <w:lang w:val="hr-HR"/>
        </w:rPr>
        <w:t>oko 45€</w:t>
      </w:r>
      <w:r w:rsidRPr="00C02FFE">
        <w:rPr>
          <w:rFonts w:ascii="Titillium" w:hAnsi="Titillium"/>
          <w:iCs/>
          <w:color w:val="0000FF"/>
          <w:sz w:val="22"/>
          <w:lang w:val="hr-HR"/>
        </w:rPr>
        <w:t xml:space="preserve"> </w:t>
      </w:r>
      <w:r w:rsidRPr="00C02FFE">
        <w:rPr>
          <w:rFonts w:ascii="Titillium" w:hAnsi="Titillium"/>
          <w:iCs/>
          <w:sz w:val="22"/>
          <w:lang w:val="hr-HR"/>
        </w:rPr>
        <w:t xml:space="preserve">po osobi za </w:t>
      </w:r>
      <w:r w:rsidR="00C02FFE" w:rsidRPr="00C02FFE">
        <w:rPr>
          <w:rFonts w:ascii="Titillium" w:hAnsi="Titillium"/>
          <w:iCs/>
          <w:sz w:val="22"/>
          <w:lang w:val="hr-HR"/>
        </w:rPr>
        <w:t>8</w:t>
      </w:r>
      <w:r w:rsidRPr="00C02FFE">
        <w:rPr>
          <w:rFonts w:ascii="Titillium" w:hAnsi="Titillium"/>
          <w:iCs/>
          <w:sz w:val="22"/>
          <w:lang w:val="hr-HR"/>
        </w:rPr>
        <w:t xml:space="preserve"> dana</w:t>
      </w:r>
    </w:p>
    <w:p w:rsidR="00702F47" w:rsidRPr="00CA22EF" w:rsidRDefault="00C02FFE" w:rsidP="00702F47">
      <w:pPr>
        <w:rPr>
          <w:rFonts w:ascii="Titillium" w:hAnsi="Titillium"/>
          <w:iCs/>
          <w:sz w:val="22"/>
          <w:lang w:val="hr-HR"/>
        </w:rPr>
      </w:pPr>
      <w:r w:rsidRPr="00C02FFE">
        <w:rPr>
          <w:rFonts w:ascii="Titillium" w:hAnsi="Titillium"/>
          <w:iCs/>
          <w:sz w:val="22"/>
          <w:lang w:val="hr-HR"/>
        </w:rPr>
        <w:t>(ovisno o broju prijavljenih)</w:t>
      </w:r>
    </w:p>
    <w:p w:rsidR="00CA22EF" w:rsidRPr="00012D83" w:rsidRDefault="00CA22EF" w:rsidP="00702F47">
      <w:pPr>
        <w:rPr>
          <w:rFonts w:ascii="Titillium" w:hAnsi="Titillium"/>
          <w:iCs/>
          <w:sz w:val="12"/>
          <w:lang w:val="hr-HR"/>
        </w:rPr>
      </w:pPr>
    </w:p>
    <w:p w:rsidR="00702F47" w:rsidRPr="00CA22EF" w:rsidRDefault="00702F47" w:rsidP="00702F47">
      <w:pPr>
        <w:rPr>
          <w:rFonts w:ascii="Titillium" w:hAnsi="Titillium"/>
          <w:b/>
          <w:iCs/>
          <w:sz w:val="22"/>
          <w:lang w:val="hr-HR"/>
        </w:rPr>
      </w:pPr>
      <w:r w:rsidRPr="00CA22EF">
        <w:rPr>
          <w:rFonts w:ascii="Titillium" w:hAnsi="Titillium"/>
          <w:iCs/>
          <w:sz w:val="22"/>
          <w:lang w:val="hr-HR"/>
        </w:rPr>
        <w:t xml:space="preserve">Za sudjelovanje na seminaru </w:t>
      </w:r>
      <w:r w:rsidRPr="00CA22EF">
        <w:rPr>
          <w:rFonts w:ascii="Titillium" w:hAnsi="Titillium"/>
          <w:b/>
          <w:iCs/>
          <w:sz w:val="22"/>
          <w:lang w:val="hr-HR"/>
        </w:rPr>
        <w:t>ne plaća se kotizacija.</w:t>
      </w:r>
    </w:p>
    <w:p w:rsidR="00702F47" w:rsidRPr="00012D83" w:rsidRDefault="00702F47" w:rsidP="00702F47">
      <w:pPr>
        <w:rPr>
          <w:rFonts w:ascii="Titillium" w:hAnsi="Titillium"/>
          <w:b/>
          <w:iCs/>
          <w:sz w:val="12"/>
          <w:lang w:val="hr-HR"/>
        </w:rPr>
      </w:pPr>
    </w:p>
    <w:p w:rsidR="009B0A6A" w:rsidRPr="009B0A6A" w:rsidRDefault="00702F47" w:rsidP="009B0A6A">
      <w:pPr>
        <w:rPr>
          <w:rFonts w:ascii="Titillium" w:hAnsi="Titillium"/>
          <w:iCs/>
          <w:sz w:val="22"/>
          <w:lang w:val="hr-HR"/>
        </w:rPr>
      </w:pPr>
      <w:r w:rsidRPr="00C02FFE">
        <w:rPr>
          <w:rFonts w:ascii="Titillium" w:hAnsi="Titillium"/>
          <w:b/>
          <w:iCs/>
          <w:sz w:val="22"/>
          <w:lang w:val="hr-HR"/>
        </w:rPr>
        <w:t xml:space="preserve">Plaćanje: uplata aranžmana </w:t>
      </w:r>
      <w:r w:rsidR="00E20CBF" w:rsidRPr="009B0A6A">
        <w:rPr>
          <w:rFonts w:ascii="Titillium" w:hAnsi="Titillium"/>
          <w:iCs/>
          <w:sz w:val="22"/>
          <w:lang w:val="hr-HR"/>
        </w:rPr>
        <w:t xml:space="preserve">ide na žiro-račun agencije </w:t>
      </w:r>
      <w:proofErr w:type="spellStart"/>
      <w:r w:rsidR="00CA22EF" w:rsidRPr="00C02FFE">
        <w:rPr>
          <w:rFonts w:ascii="Titillium" w:hAnsi="Titillium"/>
          <w:b/>
          <w:bCs/>
          <w:iCs/>
          <w:sz w:val="22"/>
        </w:rPr>
        <w:t>Turističk</w:t>
      </w:r>
      <w:r w:rsidR="00E20CBF">
        <w:rPr>
          <w:rFonts w:ascii="Titillium" w:hAnsi="Titillium"/>
          <w:b/>
          <w:bCs/>
          <w:iCs/>
          <w:sz w:val="22"/>
        </w:rPr>
        <w:t>a</w:t>
      </w:r>
      <w:proofErr w:type="spellEnd"/>
      <w:r w:rsidR="00CA22EF" w:rsidRPr="00C02FFE">
        <w:rPr>
          <w:rFonts w:ascii="Titillium" w:hAnsi="Titillium"/>
          <w:b/>
          <w:bCs/>
          <w:iCs/>
          <w:sz w:val="22"/>
        </w:rPr>
        <w:t xml:space="preserve"> </w:t>
      </w:r>
      <w:proofErr w:type="spellStart"/>
      <w:r w:rsidR="00CA22EF" w:rsidRPr="00C02FFE">
        <w:rPr>
          <w:rFonts w:ascii="Titillium" w:hAnsi="Titillium"/>
          <w:b/>
          <w:bCs/>
          <w:iCs/>
          <w:sz w:val="22"/>
        </w:rPr>
        <w:t>agencij</w:t>
      </w:r>
      <w:r w:rsidR="00E20CBF">
        <w:rPr>
          <w:rFonts w:ascii="Titillium" w:hAnsi="Titillium"/>
          <w:b/>
          <w:bCs/>
          <w:iCs/>
          <w:sz w:val="22"/>
        </w:rPr>
        <w:t>a</w:t>
      </w:r>
      <w:proofErr w:type="spellEnd"/>
      <w:r w:rsidR="00CA22EF" w:rsidRPr="00C02FFE">
        <w:rPr>
          <w:rFonts w:ascii="Titillium" w:hAnsi="Titillium"/>
          <w:b/>
          <w:bCs/>
          <w:iCs/>
          <w:sz w:val="22"/>
        </w:rPr>
        <w:t xml:space="preserve"> ADRIJANA - ADRIJANA ZNANJE </w:t>
      </w:r>
      <w:proofErr w:type="spellStart"/>
      <w:r w:rsidR="00CA22EF" w:rsidRPr="00C02FFE">
        <w:rPr>
          <w:rFonts w:ascii="Titillium" w:hAnsi="Titillium"/>
          <w:b/>
          <w:bCs/>
          <w:iCs/>
          <w:sz w:val="22"/>
        </w:rPr>
        <w:t>d.o.o</w:t>
      </w:r>
      <w:proofErr w:type="spellEnd"/>
      <w:r w:rsidR="00CA22EF" w:rsidRPr="00C02FFE">
        <w:rPr>
          <w:rFonts w:ascii="Titillium" w:hAnsi="Titillium"/>
          <w:b/>
          <w:bCs/>
          <w:iCs/>
          <w:sz w:val="22"/>
        </w:rPr>
        <w:t>.</w:t>
      </w:r>
      <w:r w:rsidRPr="00C02FFE">
        <w:rPr>
          <w:rFonts w:ascii="Titillium" w:hAnsi="Titillium"/>
          <w:iCs/>
          <w:sz w:val="22"/>
          <w:lang w:val="hr-HR"/>
        </w:rPr>
        <w:t>,</w:t>
      </w:r>
      <w:r w:rsidR="009B0A6A">
        <w:rPr>
          <w:rFonts w:ascii="Titillium" w:hAnsi="Titillium"/>
          <w:iCs/>
          <w:sz w:val="22"/>
          <w:lang w:val="hr-HR"/>
        </w:rPr>
        <w:t xml:space="preserve"> </w:t>
      </w:r>
      <w:r w:rsidR="009B0A6A" w:rsidRPr="009B0A6A">
        <w:rPr>
          <w:rFonts w:ascii="Titillium" w:hAnsi="Titillium"/>
          <w:iCs/>
          <w:sz w:val="22"/>
          <w:lang w:val="hr-HR"/>
        </w:rPr>
        <w:t xml:space="preserve">nakon primitka ponude za plaćanje. </w:t>
      </w:r>
    </w:p>
    <w:p w:rsidR="00702F47" w:rsidRPr="00012D83" w:rsidRDefault="00702F47" w:rsidP="00702F47">
      <w:pPr>
        <w:rPr>
          <w:rFonts w:ascii="Titillium" w:hAnsi="Titillium"/>
          <w:b/>
          <w:iCs/>
          <w:sz w:val="12"/>
          <w:lang w:val="hr-HR"/>
        </w:rPr>
      </w:pPr>
    </w:p>
    <w:p w:rsidR="00702F47" w:rsidRPr="00CA22EF" w:rsidRDefault="009B0A6A" w:rsidP="00702F47">
      <w:pPr>
        <w:rPr>
          <w:rFonts w:ascii="Titillium" w:hAnsi="Titillium"/>
          <w:b/>
          <w:iCs/>
          <w:sz w:val="22"/>
          <w:lang w:val="hr-HR"/>
        </w:rPr>
      </w:pPr>
      <w:r>
        <w:rPr>
          <w:rFonts w:ascii="Titillium" w:hAnsi="Titillium"/>
          <w:iCs/>
          <w:sz w:val="22"/>
          <w:lang w:val="hr-HR"/>
        </w:rPr>
        <w:t>Ako</w:t>
      </w:r>
      <w:r w:rsidR="00702F47" w:rsidRPr="00CA22EF">
        <w:rPr>
          <w:rFonts w:ascii="Titillium" w:hAnsi="Titillium"/>
          <w:iCs/>
          <w:sz w:val="22"/>
          <w:lang w:val="hr-HR"/>
        </w:rPr>
        <w:t xml:space="preserve"> želite prisustvovati stručnom seminaru, molim da ispunite </w:t>
      </w:r>
      <w:r w:rsidR="00702F47" w:rsidRPr="00CA22EF">
        <w:rPr>
          <w:rFonts w:ascii="Titillium" w:hAnsi="Titillium"/>
          <w:b/>
          <w:iCs/>
          <w:sz w:val="22"/>
          <w:lang w:val="hr-HR"/>
        </w:rPr>
        <w:t>PRIJAVNICU, sa svim podacima,</w:t>
      </w:r>
      <w:r w:rsidR="00702F47" w:rsidRPr="00CA22EF">
        <w:rPr>
          <w:rFonts w:ascii="Titillium" w:hAnsi="Titillium"/>
          <w:iCs/>
          <w:sz w:val="22"/>
          <w:lang w:val="hr-HR"/>
        </w:rPr>
        <w:t xml:space="preserve"> koja se nalazi u prilogu i pošaljete ju na donju adresu </w:t>
      </w:r>
      <w:r w:rsidR="00702F47" w:rsidRPr="00C02FFE">
        <w:rPr>
          <w:rFonts w:ascii="Titillium" w:hAnsi="Titillium"/>
          <w:b/>
          <w:iCs/>
          <w:color w:val="0000FF"/>
          <w:sz w:val="22"/>
          <w:lang w:val="hr-HR"/>
        </w:rPr>
        <w:t xml:space="preserve">najkasnije do </w:t>
      </w:r>
      <w:r w:rsidR="00C02FFE" w:rsidRPr="00C02FFE">
        <w:rPr>
          <w:rFonts w:ascii="Titillium" w:hAnsi="Titillium"/>
          <w:b/>
          <w:iCs/>
          <w:color w:val="0000FF"/>
          <w:sz w:val="22"/>
          <w:lang w:val="hr-HR"/>
        </w:rPr>
        <w:t>1</w:t>
      </w:r>
      <w:r w:rsidR="00702F47" w:rsidRPr="00C02FFE">
        <w:rPr>
          <w:rFonts w:ascii="Titillium" w:hAnsi="Titillium"/>
          <w:b/>
          <w:iCs/>
          <w:color w:val="0000FF"/>
          <w:sz w:val="22"/>
          <w:lang w:val="hr-HR"/>
        </w:rPr>
        <w:t xml:space="preserve">. </w:t>
      </w:r>
      <w:r w:rsidR="00C02FFE" w:rsidRPr="00C02FFE">
        <w:rPr>
          <w:rFonts w:ascii="Titillium" w:hAnsi="Titillium"/>
          <w:b/>
          <w:iCs/>
          <w:color w:val="0000FF"/>
          <w:sz w:val="22"/>
          <w:lang w:val="hr-HR"/>
        </w:rPr>
        <w:t>svibnja</w:t>
      </w:r>
      <w:r w:rsidR="00702F47" w:rsidRPr="00C02FFE">
        <w:rPr>
          <w:rFonts w:ascii="Titillium" w:hAnsi="Titillium"/>
          <w:b/>
          <w:iCs/>
          <w:color w:val="0000FF"/>
          <w:sz w:val="22"/>
          <w:lang w:val="hr-HR"/>
        </w:rPr>
        <w:t xml:space="preserve"> 20</w:t>
      </w:r>
      <w:r w:rsidR="00012D83" w:rsidRPr="00C02FFE">
        <w:rPr>
          <w:rFonts w:ascii="Titillium" w:hAnsi="Titillium"/>
          <w:b/>
          <w:iCs/>
          <w:color w:val="0000FF"/>
          <w:sz w:val="22"/>
          <w:lang w:val="hr-HR"/>
        </w:rPr>
        <w:t>24</w:t>
      </w:r>
      <w:r w:rsidR="00702F47" w:rsidRPr="00C02FFE">
        <w:rPr>
          <w:rFonts w:ascii="Titillium" w:hAnsi="Titillium"/>
          <w:b/>
          <w:iCs/>
          <w:color w:val="0000FF"/>
          <w:sz w:val="22"/>
          <w:lang w:val="hr-HR"/>
        </w:rPr>
        <w:t>. godine.</w:t>
      </w:r>
    </w:p>
    <w:p w:rsidR="00702F47" w:rsidRPr="00012D83" w:rsidRDefault="00702F47" w:rsidP="00702F47">
      <w:pPr>
        <w:rPr>
          <w:rFonts w:ascii="Titillium" w:hAnsi="Titillium"/>
          <w:iCs/>
          <w:sz w:val="12"/>
          <w:lang w:val="hr-HR"/>
        </w:rPr>
      </w:pPr>
    </w:p>
    <w:p w:rsidR="00702F47" w:rsidRPr="00012D83" w:rsidRDefault="00702F47" w:rsidP="00702F47">
      <w:pPr>
        <w:rPr>
          <w:rFonts w:ascii="Titillium" w:hAnsi="Titillium"/>
          <w:b/>
          <w:iCs/>
          <w:sz w:val="20"/>
          <w:szCs w:val="22"/>
          <w:lang w:val="hr-HR"/>
        </w:rPr>
      </w:pPr>
      <w:r w:rsidRPr="00012D83">
        <w:rPr>
          <w:rFonts w:ascii="Titillium" w:hAnsi="Titillium"/>
          <w:b/>
          <w:iCs/>
          <w:sz w:val="20"/>
          <w:szCs w:val="22"/>
          <w:lang w:val="hr-HR"/>
        </w:rPr>
        <w:t>Hrvatsko udruženje za zaštitu zraka</w:t>
      </w:r>
    </w:p>
    <w:p w:rsidR="00702F47" w:rsidRPr="00012D83" w:rsidRDefault="00702F47" w:rsidP="00702F47">
      <w:pPr>
        <w:rPr>
          <w:rFonts w:ascii="Titillium" w:hAnsi="Titillium"/>
          <w:b/>
          <w:iCs/>
          <w:sz w:val="20"/>
          <w:szCs w:val="22"/>
          <w:lang w:val="hr-HR"/>
        </w:rPr>
      </w:pPr>
      <w:r w:rsidRPr="00012D83">
        <w:rPr>
          <w:rFonts w:ascii="Titillium" w:hAnsi="Titillium"/>
          <w:b/>
          <w:iCs/>
          <w:sz w:val="20"/>
          <w:szCs w:val="22"/>
          <w:lang w:val="hr-HR"/>
        </w:rPr>
        <w:t>Ksaverska cesta 2</w:t>
      </w:r>
    </w:p>
    <w:p w:rsidR="00702F47" w:rsidRPr="00012D83" w:rsidRDefault="00702F47" w:rsidP="00702F47">
      <w:pPr>
        <w:rPr>
          <w:rFonts w:ascii="Titillium" w:hAnsi="Titillium"/>
          <w:b/>
          <w:iCs/>
          <w:sz w:val="20"/>
          <w:szCs w:val="22"/>
          <w:lang w:val="hr-HR"/>
        </w:rPr>
      </w:pPr>
      <w:r w:rsidRPr="00012D83">
        <w:rPr>
          <w:rFonts w:ascii="Titillium" w:hAnsi="Titillium"/>
          <w:b/>
          <w:iCs/>
          <w:sz w:val="20"/>
          <w:szCs w:val="22"/>
          <w:lang w:val="hr-HR"/>
        </w:rPr>
        <w:t>10000 ZAGREB</w:t>
      </w:r>
    </w:p>
    <w:p w:rsidR="00702F47" w:rsidRPr="00012D83" w:rsidRDefault="00F9762A" w:rsidP="00702F47">
      <w:pPr>
        <w:rPr>
          <w:rFonts w:ascii="Titillium" w:hAnsi="Titillium"/>
          <w:b/>
          <w:iCs/>
          <w:sz w:val="20"/>
          <w:szCs w:val="22"/>
          <w:lang w:val="hr-HR"/>
        </w:rPr>
      </w:pPr>
      <w:hyperlink r:id="rId10" w:history="1">
        <w:r w:rsidR="00702F47" w:rsidRPr="00012D83">
          <w:rPr>
            <w:rStyle w:val="Hyperlink"/>
            <w:rFonts w:ascii="Titillium" w:hAnsi="Titillium"/>
            <w:b/>
            <w:iCs/>
            <w:sz w:val="20"/>
            <w:szCs w:val="22"/>
            <w:lang w:val="hr-HR"/>
          </w:rPr>
          <w:t>info@huzz.hr</w:t>
        </w:r>
      </w:hyperlink>
      <w:bookmarkStart w:id="0" w:name="_GoBack"/>
      <w:bookmarkEnd w:id="0"/>
    </w:p>
    <w:p w:rsidR="00702F47" w:rsidRPr="00012D83" w:rsidRDefault="00702F47" w:rsidP="00702F47">
      <w:pPr>
        <w:rPr>
          <w:rFonts w:ascii="Titillium" w:hAnsi="Titillium"/>
          <w:b/>
          <w:iCs/>
          <w:sz w:val="12"/>
          <w:szCs w:val="22"/>
          <w:lang w:val="hr-HR"/>
        </w:rPr>
      </w:pPr>
    </w:p>
    <w:p w:rsidR="00702F47" w:rsidRPr="00012D83" w:rsidRDefault="00702F47" w:rsidP="00702F47">
      <w:pPr>
        <w:rPr>
          <w:rFonts w:ascii="Titillium" w:hAnsi="Titillium"/>
          <w:b/>
          <w:iCs/>
          <w:sz w:val="20"/>
          <w:szCs w:val="22"/>
          <w:lang w:val="hr-HR"/>
        </w:rPr>
      </w:pPr>
      <w:r w:rsidRPr="00012D83">
        <w:rPr>
          <w:rFonts w:ascii="Titillium" w:hAnsi="Titillium"/>
          <w:b/>
          <w:iCs/>
          <w:sz w:val="20"/>
          <w:szCs w:val="22"/>
          <w:lang w:val="hr-HR"/>
        </w:rPr>
        <w:t xml:space="preserve">Kontakt osoba: </w:t>
      </w:r>
    </w:p>
    <w:p w:rsidR="00702F47" w:rsidRPr="00012D83" w:rsidRDefault="00702F47" w:rsidP="00702F47">
      <w:pPr>
        <w:rPr>
          <w:rFonts w:ascii="Titillium" w:hAnsi="Titillium"/>
          <w:iCs/>
          <w:sz w:val="20"/>
          <w:szCs w:val="22"/>
          <w:lang w:val="hr-HR"/>
        </w:rPr>
      </w:pPr>
      <w:r w:rsidRPr="00012D83">
        <w:rPr>
          <w:rFonts w:ascii="Titillium" w:hAnsi="Titillium"/>
          <w:iCs/>
          <w:sz w:val="20"/>
          <w:szCs w:val="22"/>
          <w:lang w:val="hr-HR"/>
        </w:rPr>
        <w:t xml:space="preserve">dr.sc. </w:t>
      </w:r>
      <w:r w:rsidR="00012D83" w:rsidRPr="00012D83">
        <w:rPr>
          <w:rFonts w:ascii="Titillium" w:hAnsi="Titillium"/>
          <w:iCs/>
          <w:sz w:val="20"/>
          <w:szCs w:val="22"/>
          <w:lang w:val="hr-HR"/>
        </w:rPr>
        <w:t xml:space="preserve">Ranka </w:t>
      </w:r>
      <w:r w:rsidRPr="00012D83">
        <w:rPr>
          <w:rFonts w:ascii="Titillium" w:hAnsi="Titillium"/>
          <w:iCs/>
          <w:sz w:val="20"/>
          <w:szCs w:val="22"/>
          <w:lang w:val="hr-HR"/>
        </w:rPr>
        <w:t>Godec</w:t>
      </w:r>
    </w:p>
    <w:p w:rsidR="00702F47" w:rsidRPr="00012D83" w:rsidRDefault="00702F47" w:rsidP="00702F47">
      <w:pPr>
        <w:rPr>
          <w:rFonts w:ascii="Titillium" w:hAnsi="Titillium"/>
          <w:iCs/>
          <w:sz w:val="20"/>
          <w:szCs w:val="22"/>
          <w:lang w:val="hr-HR"/>
        </w:rPr>
      </w:pPr>
      <w:r w:rsidRPr="00012D83">
        <w:rPr>
          <w:rFonts w:ascii="Titillium" w:hAnsi="Titillium"/>
          <w:iCs/>
          <w:sz w:val="20"/>
          <w:szCs w:val="22"/>
          <w:lang w:val="hr-HR"/>
        </w:rPr>
        <w:t>Telefon: 01 4682-58</w:t>
      </w:r>
      <w:r w:rsidR="00012D83" w:rsidRPr="00012D83">
        <w:rPr>
          <w:rFonts w:ascii="Titillium" w:hAnsi="Titillium"/>
          <w:iCs/>
          <w:sz w:val="20"/>
          <w:szCs w:val="22"/>
          <w:lang w:val="hr-HR"/>
        </w:rPr>
        <w:t>5</w:t>
      </w:r>
      <w:r w:rsidRPr="00012D83">
        <w:rPr>
          <w:rFonts w:ascii="Titillium" w:hAnsi="Titillium"/>
          <w:iCs/>
          <w:sz w:val="20"/>
          <w:szCs w:val="22"/>
          <w:lang w:val="hr-HR"/>
        </w:rPr>
        <w:t xml:space="preserve"> </w:t>
      </w:r>
    </w:p>
    <w:p w:rsidR="00702F47" w:rsidRPr="00012D83" w:rsidRDefault="00702F47" w:rsidP="00702F47">
      <w:pPr>
        <w:rPr>
          <w:rFonts w:ascii="Titillium" w:hAnsi="Titillium"/>
          <w:iCs/>
          <w:sz w:val="20"/>
          <w:szCs w:val="22"/>
          <w:lang w:val="hr-HR"/>
        </w:rPr>
      </w:pPr>
      <w:r w:rsidRPr="00012D83">
        <w:rPr>
          <w:rFonts w:ascii="Titillium" w:hAnsi="Titillium"/>
          <w:iCs/>
          <w:sz w:val="20"/>
          <w:szCs w:val="22"/>
          <w:lang w:val="hr-HR"/>
        </w:rPr>
        <w:t xml:space="preserve">e-mail: </w:t>
      </w:r>
      <w:hyperlink r:id="rId11" w:history="1">
        <w:r w:rsidR="00012D83" w:rsidRPr="00012D83">
          <w:rPr>
            <w:rStyle w:val="Hyperlink"/>
            <w:rFonts w:ascii="Titillium" w:hAnsi="Titillium"/>
            <w:iCs/>
            <w:sz w:val="20"/>
            <w:szCs w:val="22"/>
            <w:lang w:val="hr-HR"/>
          </w:rPr>
          <w:t>rgodec@imi.hr</w:t>
        </w:r>
      </w:hyperlink>
    </w:p>
    <w:p w:rsidR="00012D83" w:rsidRPr="00405185" w:rsidRDefault="00012D83" w:rsidP="00012D83">
      <w:pPr>
        <w:jc w:val="both"/>
        <w:rPr>
          <w:sz w:val="22"/>
          <w:szCs w:val="22"/>
          <w:lang w:val="hr-HR"/>
        </w:rPr>
      </w:pPr>
    </w:p>
    <w:p w:rsidR="00012D83" w:rsidRDefault="00012D83" w:rsidP="00012D83">
      <w:pPr>
        <w:jc w:val="center"/>
        <w:rPr>
          <w:rFonts w:ascii="Titillium" w:hAnsi="Titillium"/>
          <w:b/>
          <w:sz w:val="28"/>
          <w:szCs w:val="28"/>
          <w:lang w:val="hr-HR"/>
        </w:rPr>
      </w:pPr>
    </w:p>
    <w:p w:rsidR="00012D83" w:rsidRPr="00012D83" w:rsidRDefault="00012D83" w:rsidP="00012D83">
      <w:pPr>
        <w:jc w:val="center"/>
        <w:rPr>
          <w:rFonts w:ascii="Titillium" w:hAnsi="Titillium"/>
          <w:b/>
          <w:sz w:val="28"/>
          <w:szCs w:val="28"/>
          <w:lang w:val="hr-HR"/>
        </w:rPr>
      </w:pPr>
      <w:r w:rsidRPr="00012D83">
        <w:rPr>
          <w:rFonts w:ascii="Titillium" w:hAnsi="Titillium"/>
          <w:b/>
          <w:sz w:val="28"/>
          <w:szCs w:val="28"/>
          <w:lang w:val="hr-HR"/>
        </w:rPr>
        <w:t>PRIJAVNICA</w:t>
      </w:r>
    </w:p>
    <w:p w:rsidR="00012D83" w:rsidRPr="00012D83" w:rsidRDefault="00012D83" w:rsidP="00012D83">
      <w:pPr>
        <w:jc w:val="center"/>
        <w:rPr>
          <w:rFonts w:ascii="Titillium" w:hAnsi="Titillium"/>
          <w:b/>
          <w:sz w:val="28"/>
          <w:szCs w:val="28"/>
          <w:lang w:val="hr-HR"/>
        </w:rPr>
      </w:pPr>
    </w:p>
    <w:p w:rsidR="00012D83" w:rsidRPr="005C529A" w:rsidRDefault="00012D83" w:rsidP="00012D83">
      <w:pPr>
        <w:jc w:val="both"/>
        <w:rPr>
          <w:rFonts w:ascii="Titillium" w:hAnsi="Titillium"/>
          <w:b/>
          <w:sz w:val="28"/>
          <w:lang w:val="hr-HR"/>
        </w:rPr>
      </w:pPr>
      <w:r w:rsidRPr="005C529A">
        <w:rPr>
          <w:rFonts w:ascii="Titillium" w:hAnsi="Titillium"/>
          <w:sz w:val="28"/>
          <w:lang w:val="hr-HR"/>
        </w:rPr>
        <w:t>Za sudjelovanje na</w:t>
      </w:r>
      <w:r w:rsidRPr="005C529A">
        <w:rPr>
          <w:rFonts w:ascii="Titillium" w:hAnsi="Titillium"/>
          <w:b/>
          <w:sz w:val="28"/>
          <w:lang w:val="hr-HR"/>
        </w:rPr>
        <w:t xml:space="preserve"> XI. stručnom seminaru „ODREĐIVANJE ONEČIŠĆENJA U ZRAKU, VODI I TLU SPECIFIČNIM ANALITIČKIM TEHNIKAMA“</w:t>
      </w:r>
      <w:r w:rsidRPr="005C529A">
        <w:rPr>
          <w:rFonts w:ascii="Calibri" w:hAnsi="Calibri" w:cs="Calibri"/>
          <w:b/>
          <w:sz w:val="28"/>
          <w:lang w:val="hr-HR"/>
        </w:rPr>
        <w:t> </w:t>
      </w:r>
      <w:r w:rsidRPr="005C529A">
        <w:rPr>
          <w:rFonts w:ascii="Titillium" w:hAnsi="Titillium" w:cs="Calibri"/>
          <w:sz w:val="28"/>
          <w:lang w:val="hr-HR"/>
        </w:rPr>
        <w:t>u periodu od</w:t>
      </w:r>
      <w:r w:rsidRPr="005C529A">
        <w:rPr>
          <w:rFonts w:ascii="Titillium" w:hAnsi="Titillium" w:cs="Calibri"/>
          <w:b/>
          <w:sz w:val="28"/>
          <w:lang w:val="hr-HR"/>
        </w:rPr>
        <w:t xml:space="preserve"> </w:t>
      </w:r>
      <w:r w:rsidRPr="005C529A">
        <w:rPr>
          <w:rFonts w:ascii="Titillium" w:hAnsi="Titillium"/>
          <w:b/>
          <w:sz w:val="28"/>
          <w:lang w:val="hr-HR"/>
        </w:rPr>
        <w:t xml:space="preserve"> </w:t>
      </w:r>
      <w:r w:rsidRPr="005C529A">
        <w:rPr>
          <w:rFonts w:ascii="Titillium" w:hAnsi="Titillium"/>
          <w:sz w:val="28"/>
          <w:lang w:val="hr-HR"/>
        </w:rPr>
        <w:t>9. – 16. lipnja 2024. godine</w:t>
      </w:r>
    </w:p>
    <w:p w:rsidR="00012D83" w:rsidRPr="005C529A" w:rsidRDefault="00012D83" w:rsidP="00012D83">
      <w:pPr>
        <w:jc w:val="both"/>
        <w:rPr>
          <w:rFonts w:ascii="Titillium" w:hAnsi="Titillium"/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2538"/>
        <w:gridCol w:w="5901"/>
      </w:tblGrid>
      <w:tr w:rsidR="00C20E26" w:rsidRPr="005C529A" w:rsidTr="005C529A">
        <w:tc>
          <w:tcPr>
            <w:tcW w:w="10416" w:type="dxa"/>
            <w:gridSpan w:val="3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</w:tcPr>
          <w:p w:rsidR="00C20E26" w:rsidRPr="005C529A" w:rsidRDefault="00C20E26" w:rsidP="00012D83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  <w:r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>OSOBNI PODACI</w:t>
            </w:r>
          </w:p>
        </w:tc>
      </w:tr>
      <w:tr w:rsidR="00C20E26" w:rsidRPr="005C529A" w:rsidTr="005C529A">
        <w:tc>
          <w:tcPr>
            <w:tcW w:w="1977" w:type="dxa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</w:tcPr>
          <w:p w:rsidR="00C20E26" w:rsidRPr="005C529A" w:rsidRDefault="00764C4D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  <w:r>
              <w:rPr>
                <w:rFonts w:ascii="Titillium" w:hAnsi="Titillium"/>
                <w:b/>
                <w:sz w:val="28"/>
                <w:szCs w:val="28"/>
                <w:lang w:val="hr-HR"/>
              </w:rPr>
              <w:t>i</w:t>
            </w:r>
            <w:r w:rsidR="00C20E26"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>me</w:t>
            </w:r>
          </w:p>
        </w:tc>
        <w:tc>
          <w:tcPr>
            <w:tcW w:w="8439" w:type="dxa"/>
            <w:gridSpan w:val="2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</w:p>
        </w:tc>
      </w:tr>
      <w:tr w:rsidR="00C20E26" w:rsidRPr="005C529A" w:rsidTr="005C529A">
        <w:tc>
          <w:tcPr>
            <w:tcW w:w="1977" w:type="dxa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</w:tcPr>
          <w:p w:rsidR="00C20E26" w:rsidRPr="005C529A" w:rsidRDefault="00764C4D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  <w:r>
              <w:rPr>
                <w:rFonts w:ascii="Titillium" w:hAnsi="Titillium"/>
                <w:b/>
                <w:sz w:val="28"/>
                <w:szCs w:val="28"/>
                <w:lang w:val="hr-HR"/>
              </w:rPr>
              <w:t>p</w:t>
            </w:r>
            <w:r w:rsidR="00C20E26"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>rezime</w:t>
            </w:r>
          </w:p>
        </w:tc>
        <w:tc>
          <w:tcPr>
            <w:tcW w:w="8439" w:type="dxa"/>
            <w:gridSpan w:val="2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</w:p>
        </w:tc>
      </w:tr>
      <w:tr w:rsidR="00C20E26" w:rsidRPr="005C529A" w:rsidTr="005C529A">
        <w:tc>
          <w:tcPr>
            <w:tcW w:w="1977" w:type="dxa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</w:tcPr>
          <w:p w:rsidR="00C20E26" w:rsidRPr="005C529A" w:rsidRDefault="00764C4D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  <w:r>
              <w:rPr>
                <w:rFonts w:ascii="Titillium" w:hAnsi="Titillium"/>
                <w:b/>
                <w:sz w:val="28"/>
                <w:szCs w:val="28"/>
                <w:lang w:val="hr-HR"/>
              </w:rPr>
              <w:t>i</w:t>
            </w:r>
            <w:r w:rsidR="00C20E26"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>nstitucija</w:t>
            </w:r>
          </w:p>
        </w:tc>
        <w:tc>
          <w:tcPr>
            <w:tcW w:w="8439" w:type="dxa"/>
            <w:gridSpan w:val="2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</w:p>
        </w:tc>
      </w:tr>
      <w:tr w:rsidR="00C20E26" w:rsidRPr="005C529A" w:rsidTr="005C529A">
        <w:tc>
          <w:tcPr>
            <w:tcW w:w="1977" w:type="dxa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  <w:r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>telefon</w:t>
            </w:r>
          </w:p>
        </w:tc>
        <w:tc>
          <w:tcPr>
            <w:tcW w:w="8439" w:type="dxa"/>
            <w:gridSpan w:val="2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</w:p>
        </w:tc>
      </w:tr>
      <w:tr w:rsidR="00C20E26" w:rsidRPr="005C529A" w:rsidTr="005C529A">
        <w:tc>
          <w:tcPr>
            <w:tcW w:w="1977" w:type="dxa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  <w:r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>e-mail</w:t>
            </w:r>
          </w:p>
        </w:tc>
        <w:tc>
          <w:tcPr>
            <w:tcW w:w="8439" w:type="dxa"/>
            <w:gridSpan w:val="2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</w:p>
        </w:tc>
      </w:tr>
      <w:tr w:rsidR="00C20E26" w:rsidRPr="005C529A" w:rsidTr="005C529A">
        <w:tc>
          <w:tcPr>
            <w:tcW w:w="1977" w:type="dxa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  <w:r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>datum rođenja</w:t>
            </w:r>
          </w:p>
        </w:tc>
        <w:tc>
          <w:tcPr>
            <w:tcW w:w="8439" w:type="dxa"/>
            <w:gridSpan w:val="2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</w:p>
        </w:tc>
      </w:tr>
      <w:tr w:rsidR="00C20E26" w:rsidRPr="005C529A" w:rsidTr="005C529A">
        <w:tc>
          <w:tcPr>
            <w:tcW w:w="1977" w:type="dxa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  <w:r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>OIB</w:t>
            </w:r>
          </w:p>
        </w:tc>
        <w:tc>
          <w:tcPr>
            <w:tcW w:w="8439" w:type="dxa"/>
            <w:gridSpan w:val="2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</w:p>
        </w:tc>
      </w:tr>
      <w:tr w:rsidR="00C20E26" w:rsidRPr="005C529A" w:rsidTr="005C529A">
        <w:tc>
          <w:tcPr>
            <w:tcW w:w="10416" w:type="dxa"/>
            <w:gridSpan w:val="3"/>
            <w:tcBorders>
              <w:top w:val="triple" w:sz="4" w:space="0" w:color="00B0F0"/>
              <w:left w:val="nil"/>
              <w:bottom w:val="triple" w:sz="4" w:space="0" w:color="00B0F0"/>
              <w:right w:val="nil"/>
            </w:tcBorders>
            <w:vAlign w:val="center"/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</w:p>
        </w:tc>
      </w:tr>
      <w:tr w:rsidR="00C20E26" w:rsidRPr="005C529A" w:rsidTr="005C529A">
        <w:tc>
          <w:tcPr>
            <w:tcW w:w="10416" w:type="dxa"/>
            <w:gridSpan w:val="3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  <w:r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>SMJEŠTAJ</w:t>
            </w:r>
          </w:p>
        </w:tc>
      </w:tr>
      <w:tr w:rsidR="00C20E26" w:rsidRPr="005C529A" w:rsidTr="005C529A">
        <w:tc>
          <w:tcPr>
            <w:tcW w:w="4515" w:type="dxa"/>
            <w:gridSpan w:val="2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</w:tcPr>
          <w:p w:rsidR="00C20E26" w:rsidRPr="005C529A" w:rsidRDefault="00C20E26" w:rsidP="005C529A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  <w:r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 xml:space="preserve">1-krevetna soba   </w:t>
            </w:r>
            <w:r w:rsidR="005C529A" w:rsidRPr="005C529A">
              <w:rPr>
                <w:rFonts w:ascii="Titillium" w:hAnsi="Titillium"/>
                <w:sz w:val="20"/>
                <w:lang w:val="hr-HR"/>
              </w:rPr>
              <w:t xml:space="preserve">  </w:t>
            </w:r>
            <w:r w:rsidR="005C529A" w:rsidRPr="005C529A">
              <w:rPr>
                <w:rFonts w:ascii="Titillium" w:hAnsi="Titillium"/>
                <w:sz w:val="20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6"/>
            <w:r w:rsidR="005C529A" w:rsidRPr="005C529A">
              <w:rPr>
                <w:rFonts w:ascii="Titillium" w:hAnsi="Titillium"/>
                <w:sz w:val="20"/>
                <w:lang w:val="hr-HR"/>
              </w:rPr>
              <w:instrText xml:space="preserve"> FORMCHECKBOX </w:instrText>
            </w:r>
            <w:r w:rsidR="00F9762A">
              <w:rPr>
                <w:rFonts w:ascii="Titillium" w:hAnsi="Titillium"/>
                <w:sz w:val="20"/>
                <w:lang w:val="hr-HR"/>
              </w:rPr>
            </w:r>
            <w:r w:rsidR="00F9762A">
              <w:rPr>
                <w:rFonts w:ascii="Titillium" w:hAnsi="Titillium"/>
                <w:sz w:val="20"/>
                <w:lang w:val="hr-HR"/>
              </w:rPr>
              <w:fldChar w:fldCharType="separate"/>
            </w:r>
            <w:r w:rsidR="005C529A" w:rsidRPr="005C529A">
              <w:rPr>
                <w:rFonts w:ascii="Titillium" w:hAnsi="Titillium"/>
                <w:sz w:val="20"/>
                <w:lang w:val="hr-HR"/>
              </w:rPr>
              <w:fldChar w:fldCharType="end"/>
            </w:r>
            <w:bookmarkEnd w:id="1"/>
            <w:r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 xml:space="preserve">                                                 </w:t>
            </w:r>
          </w:p>
        </w:tc>
        <w:tc>
          <w:tcPr>
            <w:tcW w:w="5901" w:type="dxa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</w:tcPr>
          <w:p w:rsidR="00C20E26" w:rsidRPr="005C529A" w:rsidRDefault="00C20E26" w:rsidP="005C529A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  <w:r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 xml:space="preserve">2-krevetna soba     </w:t>
            </w:r>
            <w:r w:rsidR="005C529A" w:rsidRPr="005C529A">
              <w:rPr>
                <w:rFonts w:ascii="Titillium" w:hAnsi="Titillium" w:cs="Courier New"/>
                <w:b/>
                <w:sz w:val="28"/>
                <w:szCs w:val="2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C529A" w:rsidRPr="005C529A">
              <w:rPr>
                <w:rFonts w:ascii="Titillium" w:hAnsi="Titillium" w:cs="Courier New"/>
                <w:b/>
                <w:sz w:val="28"/>
                <w:szCs w:val="28"/>
                <w:lang w:val="hr-HR"/>
              </w:rPr>
              <w:instrText xml:space="preserve"> FORMCHECKBOX </w:instrText>
            </w:r>
            <w:r w:rsidR="00F9762A">
              <w:rPr>
                <w:rFonts w:ascii="Titillium" w:hAnsi="Titillium" w:cs="Courier New"/>
                <w:b/>
                <w:sz w:val="28"/>
                <w:szCs w:val="28"/>
                <w:lang w:val="hr-HR"/>
              </w:rPr>
            </w:r>
            <w:r w:rsidR="00F9762A">
              <w:rPr>
                <w:rFonts w:ascii="Titillium" w:hAnsi="Titillium" w:cs="Courier New"/>
                <w:b/>
                <w:sz w:val="28"/>
                <w:szCs w:val="28"/>
                <w:lang w:val="hr-HR"/>
              </w:rPr>
              <w:fldChar w:fldCharType="separate"/>
            </w:r>
            <w:r w:rsidR="005C529A" w:rsidRPr="005C529A">
              <w:rPr>
                <w:rFonts w:ascii="Titillium" w:hAnsi="Titillium" w:cs="Courier New"/>
                <w:b/>
                <w:sz w:val="28"/>
                <w:szCs w:val="28"/>
                <w:lang w:val="hr-HR"/>
              </w:rPr>
              <w:fldChar w:fldCharType="end"/>
            </w:r>
          </w:p>
        </w:tc>
      </w:tr>
      <w:tr w:rsidR="00C20E26" w:rsidRPr="005C529A" w:rsidTr="005C529A">
        <w:tc>
          <w:tcPr>
            <w:tcW w:w="4515" w:type="dxa"/>
            <w:gridSpan w:val="2"/>
            <w:tcBorders>
              <w:top w:val="triple" w:sz="4" w:space="0" w:color="00B0F0"/>
              <w:left w:val="nil"/>
              <w:bottom w:val="nil"/>
              <w:right w:val="triple" w:sz="4" w:space="0" w:color="00B0F0"/>
            </w:tcBorders>
            <w:vAlign w:val="center"/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</w:p>
        </w:tc>
        <w:tc>
          <w:tcPr>
            <w:tcW w:w="5901" w:type="dxa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  <w:r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>dijelim s (ime i prezime)</w:t>
            </w:r>
          </w:p>
        </w:tc>
      </w:tr>
      <w:tr w:rsidR="00C20E26" w:rsidRPr="005C529A" w:rsidTr="005C529A">
        <w:tc>
          <w:tcPr>
            <w:tcW w:w="4515" w:type="dxa"/>
            <w:gridSpan w:val="2"/>
            <w:tcBorders>
              <w:top w:val="nil"/>
              <w:left w:val="nil"/>
              <w:bottom w:val="triple" w:sz="4" w:space="0" w:color="00B0F0"/>
              <w:right w:val="triple" w:sz="4" w:space="0" w:color="00B0F0"/>
            </w:tcBorders>
            <w:vAlign w:val="center"/>
          </w:tcPr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</w:p>
        </w:tc>
        <w:tc>
          <w:tcPr>
            <w:tcW w:w="5901" w:type="dxa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</w:tcPr>
          <w:p w:rsidR="00467066" w:rsidRPr="005C529A" w:rsidRDefault="0046706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</w:p>
        </w:tc>
      </w:tr>
      <w:tr w:rsidR="00C20E26" w:rsidRPr="005C529A" w:rsidTr="005C529A">
        <w:tc>
          <w:tcPr>
            <w:tcW w:w="4515" w:type="dxa"/>
            <w:gridSpan w:val="2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</w:tcPr>
          <w:p w:rsidR="005C529A" w:rsidRPr="005C529A" w:rsidRDefault="005C529A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  <w:r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>Datum</w:t>
            </w:r>
            <w:r w:rsidR="00C20E26"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 xml:space="preserve">  </w:t>
            </w:r>
          </w:p>
          <w:p w:rsidR="00C20E26" w:rsidRPr="005C529A" w:rsidRDefault="00C20E26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  <w:r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 xml:space="preserve">                                                                      </w:t>
            </w:r>
          </w:p>
        </w:tc>
        <w:tc>
          <w:tcPr>
            <w:tcW w:w="5901" w:type="dxa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</w:tcPr>
          <w:p w:rsidR="005C529A" w:rsidRPr="005C529A" w:rsidRDefault="005C529A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  <w:r w:rsidRPr="005C529A">
              <w:rPr>
                <w:rFonts w:ascii="Titillium" w:hAnsi="Titillium"/>
                <w:b/>
                <w:sz w:val="28"/>
                <w:szCs w:val="28"/>
                <w:lang w:val="hr-HR"/>
              </w:rPr>
              <w:t>Potpis</w:t>
            </w:r>
          </w:p>
          <w:p w:rsidR="005C529A" w:rsidRPr="005C529A" w:rsidRDefault="005C529A" w:rsidP="00C20E26">
            <w:pPr>
              <w:jc w:val="both"/>
              <w:rPr>
                <w:rFonts w:ascii="Titillium" w:hAnsi="Titillium"/>
                <w:b/>
                <w:sz w:val="28"/>
                <w:szCs w:val="28"/>
                <w:lang w:val="hr-HR"/>
              </w:rPr>
            </w:pPr>
          </w:p>
        </w:tc>
      </w:tr>
    </w:tbl>
    <w:p w:rsidR="00012D83" w:rsidRDefault="00012D83" w:rsidP="00012D83">
      <w:pPr>
        <w:jc w:val="both"/>
        <w:rPr>
          <w:rFonts w:ascii="Titillium" w:hAnsi="Titillium"/>
          <w:b/>
          <w:lang w:val="hr-HR"/>
        </w:rPr>
      </w:pPr>
    </w:p>
    <w:p w:rsidR="00012D83" w:rsidRDefault="00012D83" w:rsidP="00012D83">
      <w:pPr>
        <w:jc w:val="both"/>
        <w:rPr>
          <w:lang w:val="hr-HR"/>
        </w:rPr>
      </w:pPr>
    </w:p>
    <w:p w:rsidR="00012D83" w:rsidRPr="00012D83" w:rsidRDefault="00012D83" w:rsidP="00702F47">
      <w:pPr>
        <w:rPr>
          <w:rFonts w:ascii="Titillium" w:hAnsi="Titillium"/>
          <w:iCs/>
          <w:sz w:val="22"/>
          <w:szCs w:val="22"/>
          <w:lang w:val="hr-HR"/>
        </w:rPr>
      </w:pPr>
    </w:p>
    <w:sectPr w:rsidR="00012D83" w:rsidRPr="00012D83" w:rsidSect="00F4564F">
      <w:headerReference w:type="default" r:id="rId12"/>
      <w:pgSz w:w="11906" w:h="16838"/>
      <w:pgMar w:top="567" w:right="720" w:bottom="567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2A" w:rsidRDefault="00F9762A" w:rsidP="00F4564F">
      <w:r>
        <w:separator/>
      </w:r>
    </w:p>
  </w:endnote>
  <w:endnote w:type="continuationSeparator" w:id="0">
    <w:p w:rsidR="00F9762A" w:rsidRDefault="00F9762A" w:rsidP="00F4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2A" w:rsidRDefault="00F9762A" w:rsidP="00F4564F">
      <w:r>
        <w:separator/>
      </w:r>
    </w:p>
  </w:footnote>
  <w:footnote w:type="continuationSeparator" w:id="0">
    <w:p w:rsidR="00F9762A" w:rsidRDefault="00F9762A" w:rsidP="00F4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4F" w:rsidRPr="00F4564F" w:rsidRDefault="00F4564F" w:rsidP="00F4564F">
    <w:pPr>
      <w:autoSpaceDE w:val="0"/>
      <w:autoSpaceDN w:val="0"/>
      <w:adjustRightInd w:val="0"/>
      <w:ind w:firstLine="567"/>
      <w:rPr>
        <w:rFonts w:ascii="Titillium" w:hAnsi="Titillium"/>
        <w:b/>
        <w:bCs/>
        <w:sz w:val="22"/>
        <w:szCs w:val="28"/>
        <w:lang w:val="en-GB"/>
      </w:rPr>
    </w:pPr>
    <w:r w:rsidRPr="00F4564F">
      <w:rPr>
        <w:noProof/>
        <w:sz w:val="16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35796847" wp14:editId="0DA24CAE">
          <wp:simplePos x="0" y="0"/>
          <wp:positionH relativeFrom="column">
            <wp:posOffset>649402</wp:posOffset>
          </wp:positionH>
          <wp:positionV relativeFrom="paragraph">
            <wp:posOffset>0</wp:posOffset>
          </wp:positionV>
          <wp:extent cx="1266825" cy="546735"/>
          <wp:effectExtent l="0" t="0" r="9525" b="5715"/>
          <wp:wrapThrough wrapText="bothSides">
            <wp:wrapPolygon edited="0">
              <wp:start x="0" y="0"/>
              <wp:lineTo x="0" y="21073"/>
              <wp:lineTo x="21438" y="21073"/>
              <wp:lineTo x="21438" y="0"/>
              <wp:lineTo x="0" y="0"/>
            </wp:wrapPolygon>
          </wp:wrapThrough>
          <wp:docPr id="3" name="Picture 1" descr="C:\Users\rgodec\Desktop\HUZZ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godec\Desktop\HUZZ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20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64F">
      <w:rPr>
        <w:rFonts w:ascii="Titillium" w:hAnsi="Titillium"/>
        <w:b/>
        <w:bCs/>
        <w:sz w:val="22"/>
        <w:szCs w:val="28"/>
        <w:lang w:val="en-GB"/>
      </w:rPr>
      <w:t>HRVATSKO UDRUŽENJE ZA ZAŠTITU ZRAKA (HUZZ</w:t>
    </w:r>
    <w:proofErr w:type="gramStart"/>
    <w:r w:rsidRPr="00F4564F">
      <w:rPr>
        <w:rFonts w:ascii="Titillium" w:hAnsi="Titillium"/>
        <w:b/>
        <w:bCs/>
        <w:sz w:val="22"/>
        <w:szCs w:val="28"/>
        <w:lang w:val="en-GB"/>
      </w:rPr>
      <w:t>)</w:t>
    </w:r>
    <w:proofErr w:type="gramEnd"/>
    <w:r w:rsidRPr="00F4564F">
      <w:rPr>
        <w:rFonts w:ascii="Titillium" w:hAnsi="Titillium"/>
        <w:b/>
        <w:bCs/>
        <w:sz w:val="22"/>
        <w:szCs w:val="28"/>
        <w:lang w:val="en-GB"/>
      </w:rPr>
      <w:br/>
      <w:t>CROATIAN AIR POLLUTION PREVENTION ASSOCIATION (CAPPA)</w:t>
    </w:r>
  </w:p>
  <w:p w:rsidR="00F4564F" w:rsidRPr="00F4564F" w:rsidRDefault="00F4564F" w:rsidP="00F4564F">
    <w:pPr>
      <w:autoSpaceDE w:val="0"/>
      <w:autoSpaceDN w:val="0"/>
      <w:adjustRightInd w:val="0"/>
      <w:jc w:val="center"/>
      <w:rPr>
        <w:rFonts w:ascii="Titillium" w:hAnsi="Titillium"/>
        <w:b/>
        <w:bCs/>
        <w:sz w:val="16"/>
        <w:szCs w:val="28"/>
        <w:lang w:val="en-GB"/>
      </w:rPr>
    </w:pPr>
  </w:p>
  <w:p w:rsidR="00F4564F" w:rsidRPr="00F4564F" w:rsidRDefault="00F4564F" w:rsidP="00F4564F">
    <w:pPr>
      <w:autoSpaceDE w:val="0"/>
      <w:autoSpaceDN w:val="0"/>
      <w:adjustRightInd w:val="0"/>
      <w:jc w:val="center"/>
      <w:rPr>
        <w:rFonts w:ascii="Titillium" w:hAnsi="Titillium"/>
        <w:b/>
        <w:bCs/>
        <w:sz w:val="20"/>
        <w:szCs w:val="28"/>
        <w:lang w:val="en-GB"/>
      </w:rPr>
    </w:pPr>
    <w:proofErr w:type="spellStart"/>
    <w:r w:rsidRPr="00F4564F">
      <w:rPr>
        <w:rFonts w:ascii="Titillium" w:hAnsi="Titillium"/>
        <w:b/>
        <w:bCs/>
        <w:sz w:val="20"/>
        <w:szCs w:val="28"/>
        <w:lang w:val="en-GB"/>
      </w:rPr>
      <w:t>Ksaverska</w:t>
    </w:r>
    <w:proofErr w:type="spellEnd"/>
    <w:r w:rsidRPr="00F4564F">
      <w:rPr>
        <w:rFonts w:ascii="Titillium" w:hAnsi="Titillium"/>
        <w:b/>
        <w:bCs/>
        <w:sz w:val="20"/>
        <w:szCs w:val="28"/>
        <w:lang w:val="en-GB"/>
      </w:rPr>
      <w:t xml:space="preserve"> c. 2, 10000 Zagreb, Croatia</w:t>
    </w:r>
  </w:p>
  <w:p w:rsidR="00F4564F" w:rsidRPr="00012D83" w:rsidRDefault="00F4564F" w:rsidP="00012D83">
    <w:pPr>
      <w:autoSpaceDE w:val="0"/>
      <w:autoSpaceDN w:val="0"/>
      <w:adjustRightInd w:val="0"/>
      <w:jc w:val="center"/>
      <w:rPr>
        <w:rFonts w:ascii="Titillium" w:hAnsi="Titillium"/>
        <w:sz w:val="20"/>
        <w:szCs w:val="28"/>
        <w:lang w:val="en-GB"/>
      </w:rPr>
    </w:pPr>
    <w:r w:rsidRPr="00F4564F">
      <w:rPr>
        <w:rFonts w:ascii="Titillium" w:hAnsi="Titillium"/>
        <w:b/>
        <w:bCs/>
        <w:sz w:val="20"/>
        <w:szCs w:val="28"/>
        <w:lang w:val="en-GB"/>
      </w:rPr>
      <w:t>Tel. (+385-1) 4682-580; 4682-585     Fax: (+385-1) 4673-303</w:t>
    </w:r>
    <w:r w:rsidRPr="00F4564F">
      <w:rPr>
        <w:rFonts w:ascii="Titillium" w:hAnsi="Titillium"/>
        <w:sz w:val="20"/>
        <w:szCs w:val="28"/>
        <w:lang w:val="en-GB"/>
      </w:rPr>
      <w:t xml:space="preserve"> </w:t>
    </w:r>
    <w:r w:rsidRPr="00F4564F">
      <w:rPr>
        <w:rFonts w:ascii="Titillium" w:hAnsi="Titillium"/>
        <w:b/>
        <w:bCs/>
        <w:sz w:val="20"/>
        <w:szCs w:val="28"/>
        <w:lang w:val="en-GB"/>
      </w:rPr>
      <w:t xml:space="preserve">e-mail: </w:t>
    </w:r>
    <w:hyperlink r:id="rId2" w:history="1">
      <w:r w:rsidR="00C20E26" w:rsidRPr="00857F6C">
        <w:rPr>
          <w:rStyle w:val="Hyperlink"/>
          <w:rFonts w:ascii="Titillium" w:hAnsi="Titillium"/>
          <w:b/>
          <w:bCs/>
          <w:sz w:val="20"/>
          <w:szCs w:val="28"/>
          <w:lang w:val="en-GB"/>
        </w:rPr>
        <w:t>info@huzz.hr</w:t>
      </w:r>
    </w:hyperlink>
    <w:r w:rsidR="00C20E26">
      <w:rPr>
        <w:rFonts w:ascii="Titillium" w:hAnsi="Titillium"/>
        <w:b/>
        <w:bCs/>
        <w:sz w:val="20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FC1"/>
      </v:shape>
    </w:pict>
  </w:numPicBullet>
  <w:abstractNum w:abstractNumId="0" w15:restartNumberingAfterBreak="0">
    <w:nsid w:val="3B167B0E"/>
    <w:multiLevelType w:val="hybridMultilevel"/>
    <w:tmpl w:val="53F070B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B640E"/>
    <w:multiLevelType w:val="hybridMultilevel"/>
    <w:tmpl w:val="E97A8F92"/>
    <w:lvl w:ilvl="0" w:tplc="8924C18E">
      <w:start w:val="9"/>
      <w:numFmt w:val="bullet"/>
      <w:lvlText w:val="-"/>
      <w:lvlJc w:val="left"/>
      <w:pPr>
        <w:ind w:left="720" w:hanging="360"/>
      </w:pPr>
      <w:rPr>
        <w:rFonts w:ascii="Titillium" w:eastAsia="Times New Roman" w:hAnsi="Titillium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4F"/>
    <w:rsid w:val="00012D83"/>
    <w:rsid w:val="00415EF7"/>
    <w:rsid w:val="00467066"/>
    <w:rsid w:val="004B7B6C"/>
    <w:rsid w:val="00531786"/>
    <w:rsid w:val="005C529A"/>
    <w:rsid w:val="00702F47"/>
    <w:rsid w:val="00764C4D"/>
    <w:rsid w:val="00964AC8"/>
    <w:rsid w:val="009866D3"/>
    <w:rsid w:val="009B0A6A"/>
    <w:rsid w:val="00BB00CB"/>
    <w:rsid w:val="00C02FFE"/>
    <w:rsid w:val="00C20E26"/>
    <w:rsid w:val="00CA22EF"/>
    <w:rsid w:val="00D87308"/>
    <w:rsid w:val="00D91B60"/>
    <w:rsid w:val="00E20CBF"/>
    <w:rsid w:val="00EA390C"/>
    <w:rsid w:val="00F4564F"/>
    <w:rsid w:val="00F9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A30A9"/>
  <w15:chartTrackingRefBased/>
  <w15:docId w15:val="{1A68C74E-1132-4F0D-8732-65D08096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F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64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F4564F"/>
  </w:style>
  <w:style w:type="paragraph" w:styleId="Footer">
    <w:name w:val="footer"/>
    <w:basedOn w:val="Normal"/>
    <w:link w:val="FooterChar"/>
    <w:uiPriority w:val="99"/>
    <w:unhideWhenUsed/>
    <w:rsid w:val="00F4564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F4564F"/>
  </w:style>
  <w:style w:type="paragraph" w:styleId="ListParagraph">
    <w:name w:val="List Paragraph"/>
    <w:basedOn w:val="Normal"/>
    <w:uiPriority w:val="34"/>
    <w:qFormat/>
    <w:rsid w:val="00D91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B6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2F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C2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eng.upatras.gr/en/node/3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th.gr/e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godec@imi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huz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zz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uzz.h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rgodec</dc:creator>
  <cp:keywords/>
  <dc:description/>
  <cp:lastModifiedBy>rgodec</cp:lastModifiedBy>
  <cp:revision>9</cp:revision>
  <dcterms:created xsi:type="dcterms:W3CDTF">2024-03-29T10:18:00Z</dcterms:created>
  <dcterms:modified xsi:type="dcterms:W3CDTF">2024-04-10T10:03:00Z</dcterms:modified>
</cp:coreProperties>
</file>